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70" w:rsidRDefault="00864806" w:rsidP="00196A91">
      <w:pPr>
        <w:shd w:val="clear" w:color="auto" w:fill="FFFFFF" w:themeFill="background1"/>
        <w:spacing w:after="160" w:line="256" w:lineRule="auto"/>
        <w:rPr>
          <w:rFonts w:ascii="Arial" w:eastAsia="Calibri" w:hAnsi="Arial" w:cs="Arial"/>
          <w:color w:val="1D2129"/>
          <w:sz w:val="24"/>
          <w:szCs w:val="24"/>
          <w:shd w:val="clear" w:color="auto" w:fill="EFF1F3"/>
        </w:rPr>
      </w:pPr>
      <w:r>
        <w:rPr>
          <w:rFonts w:ascii="Arial" w:eastAsia="Calibri" w:hAnsi="Arial" w:cs="Arial"/>
          <w:color w:val="1D2129"/>
          <w:sz w:val="24"/>
          <w:szCs w:val="24"/>
          <w:shd w:val="clear" w:color="auto" w:fill="EFF1F3"/>
        </w:rPr>
        <w:t xml:space="preserve">FRAGILITA’, MULTIMORBILITA’  E </w:t>
      </w:r>
      <w:r w:rsidR="002A1D70">
        <w:rPr>
          <w:rFonts w:ascii="Arial" w:eastAsia="Calibri" w:hAnsi="Arial" w:cs="Arial"/>
          <w:color w:val="1D2129"/>
          <w:sz w:val="24"/>
          <w:szCs w:val="24"/>
          <w:shd w:val="clear" w:color="auto" w:fill="EFF1F3"/>
        </w:rPr>
        <w:t xml:space="preserve"> DISABILITA’ : nelle cartelle </w:t>
      </w:r>
      <w:r w:rsidR="005F6288">
        <w:rPr>
          <w:rFonts w:ascii="Arial" w:eastAsia="Calibri" w:hAnsi="Arial" w:cs="Arial"/>
          <w:color w:val="1D2129"/>
          <w:sz w:val="24"/>
          <w:szCs w:val="24"/>
          <w:shd w:val="clear" w:color="auto" w:fill="EFF1F3"/>
        </w:rPr>
        <w:t xml:space="preserve">cliniche mancano troppo spesso riferimenti a </w:t>
      </w:r>
      <w:r w:rsidR="002A1D70">
        <w:rPr>
          <w:rFonts w:ascii="Arial" w:eastAsia="Calibri" w:hAnsi="Arial" w:cs="Arial"/>
          <w:color w:val="1D2129"/>
          <w:sz w:val="24"/>
          <w:szCs w:val="24"/>
          <w:shd w:val="clear" w:color="auto" w:fill="EFF1F3"/>
        </w:rPr>
        <w:t>questi fondamentali parametri geriatrici.</w:t>
      </w:r>
    </w:p>
    <w:p w:rsidR="002A1D70" w:rsidRDefault="002A1D70" w:rsidP="00196A91">
      <w:pPr>
        <w:shd w:val="clear" w:color="auto" w:fill="FFFFFF" w:themeFill="background1"/>
        <w:spacing w:after="160" w:line="256" w:lineRule="auto"/>
        <w:rPr>
          <w:rFonts w:ascii="Arial" w:eastAsia="Calibri" w:hAnsi="Arial" w:cs="Arial"/>
          <w:color w:val="1D2129"/>
          <w:sz w:val="24"/>
          <w:szCs w:val="24"/>
          <w:shd w:val="clear" w:color="auto" w:fill="EFF1F3"/>
        </w:rPr>
      </w:pPr>
    </w:p>
    <w:p w:rsidR="00565AE4" w:rsidRDefault="0065350E" w:rsidP="005F6288">
      <w:pPr>
        <w:shd w:val="clear" w:color="auto" w:fill="FFFFFF" w:themeFill="background1"/>
        <w:spacing w:after="160" w:line="256" w:lineRule="auto"/>
        <w:jc w:val="both"/>
        <w:rPr>
          <w:rFonts w:ascii="Arial" w:eastAsia="Calibri" w:hAnsi="Arial" w:cs="Arial"/>
          <w:color w:val="1D2129"/>
          <w:sz w:val="24"/>
          <w:szCs w:val="24"/>
          <w:shd w:val="clear" w:color="auto" w:fill="EFF1F3"/>
        </w:rPr>
      </w:pPr>
      <w:r>
        <w:rPr>
          <w:rFonts w:ascii="Arial" w:eastAsia="Calibri" w:hAnsi="Arial" w:cs="Arial"/>
          <w:color w:val="1D2129"/>
          <w:sz w:val="24"/>
          <w:szCs w:val="24"/>
          <w:shd w:val="clear" w:color="auto" w:fill="EFF1F3"/>
        </w:rPr>
        <w:t>Diverse</w:t>
      </w:r>
      <w:r w:rsidR="00565AE4" w:rsidRPr="00565AE4">
        <w:rPr>
          <w:rFonts w:ascii="Arial" w:eastAsia="Calibri" w:hAnsi="Arial" w:cs="Arial"/>
          <w:color w:val="1D2129"/>
          <w:sz w:val="24"/>
          <w:szCs w:val="24"/>
          <w:shd w:val="clear" w:color="auto" w:fill="EFF1F3"/>
        </w:rPr>
        <w:t xml:space="preserve"> metodologie con variabile</w:t>
      </w:r>
      <w:r>
        <w:rPr>
          <w:rFonts w:ascii="Arial" w:eastAsia="Calibri" w:hAnsi="Arial" w:cs="Arial"/>
          <w:color w:val="1D2129"/>
          <w:sz w:val="24"/>
          <w:szCs w:val="24"/>
          <w:shd w:val="clear" w:color="auto" w:fill="EFF1F3"/>
        </w:rPr>
        <w:t xml:space="preserve"> qualità e criteri di misura  sono stati utilizzate per condurre </w:t>
      </w:r>
      <w:r w:rsidR="00565AE4" w:rsidRPr="00565AE4">
        <w:rPr>
          <w:rFonts w:ascii="Arial" w:eastAsia="Calibri" w:hAnsi="Arial" w:cs="Arial"/>
          <w:color w:val="1D2129"/>
          <w:sz w:val="24"/>
          <w:szCs w:val="24"/>
          <w:shd w:val="clear" w:color="auto" w:fill="EFF1F3"/>
        </w:rPr>
        <w:t xml:space="preserve"> s</w:t>
      </w:r>
      <w:r>
        <w:rPr>
          <w:rFonts w:ascii="Arial" w:eastAsia="Calibri" w:hAnsi="Arial" w:cs="Arial"/>
          <w:color w:val="1D2129"/>
          <w:sz w:val="24"/>
          <w:szCs w:val="24"/>
          <w:shd w:val="clear" w:color="auto" w:fill="EFF1F3"/>
        </w:rPr>
        <w:t xml:space="preserve">creening di popolazione e, </w:t>
      </w:r>
      <w:r w:rsidR="00565AE4" w:rsidRPr="00565AE4">
        <w:rPr>
          <w:rFonts w:ascii="Arial" w:eastAsia="Calibri" w:hAnsi="Arial" w:cs="Arial"/>
          <w:color w:val="1D2129"/>
          <w:sz w:val="24"/>
          <w:szCs w:val="24"/>
          <w:shd w:val="clear" w:color="auto" w:fill="EFF1F3"/>
        </w:rPr>
        <w:t>a livello clinico</w:t>
      </w:r>
      <w:r>
        <w:rPr>
          <w:rFonts w:ascii="Arial" w:eastAsia="Calibri" w:hAnsi="Arial" w:cs="Arial"/>
          <w:color w:val="1D2129"/>
          <w:sz w:val="24"/>
          <w:szCs w:val="24"/>
          <w:shd w:val="clear" w:color="auto" w:fill="EFF1F3"/>
        </w:rPr>
        <w:t>,</w:t>
      </w:r>
      <w:r w:rsidR="00565AE4" w:rsidRPr="00565AE4">
        <w:rPr>
          <w:rFonts w:ascii="Arial" w:eastAsia="Calibri" w:hAnsi="Arial" w:cs="Arial"/>
          <w:color w:val="1D2129"/>
          <w:sz w:val="24"/>
          <w:szCs w:val="24"/>
          <w:shd w:val="clear" w:color="auto" w:fill="EFF1F3"/>
        </w:rPr>
        <w:t xml:space="preserve"> </w:t>
      </w:r>
      <w:r w:rsidR="00565AE4">
        <w:rPr>
          <w:rFonts w:ascii="Arial" w:eastAsia="Calibri" w:hAnsi="Arial" w:cs="Arial"/>
          <w:color w:val="1D2129"/>
          <w:sz w:val="24"/>
          <w:szCs w:val="24"/>
          <w:shd w:val="clear" w:color="auto" w:fill="EFF1F3"/>
        </w:rPr>
        <w:t>per valutare la fragilità del paziente anziano</w:t>
      </w:r>
      <w:r w:rsidR="00565AE4" w:rsidRPr="00565AE4">
        <w:rPr>
          <w:rFonts w:ascii="Arial" w:eastAsia="Calibri" w:hAnsi="Arial" w:cs="Arial"/>
          <w:color w:val="1D2129"/>
          <w:sz w:val="24"/>
          <w:szCs w:val="24"/>
          <w:shd w:val="clear" w:color="auto" w:fill="EFF1F3"/>
        </w:rPr>
        <w:t>;</w:t>
      </w:r>
      <w:r w:rsidR="00565AE4">
        <w:rPr>
          <w:rFonts w:ascii="Arial" w:eastAsia="Calibri" w:hAnsi="Arial" w:cs="Arial"/>
          <w:color w:val="1D2129"/>
          <w:sz w:val="24"/>
          <w:szCs w:val="24"/>
          <w:shd w:val="clear" w:color="auto" w:fill="EFF1F3"/>
        </w:rPr>
        <w:t xml:space="preserve"> i</w:t>
      </w:r>
      <w:r w:rsidR="00565AE4" w:rsidRPr="00565AE4">
        <w:rPr>
          <w:rFonts w:ascii="Arial" w:eastAsia="Calibri" w:hAnsi="Arial" w:cs="Arial"/>
          <w:color w:val="1D2129"/>
          <w:sz w:val="24"/>
          <w:szCs w:val="24"/>
          <w:shd w:val="clear" w:color="auto" w:fill="EFF1F3"/>
        </w:rPr>
        <w:t xml:space="preserve"> due metodi più </w:t>
      </w:r>
      <w:r>
        <w:rPr>
          <w:rFonts w:ascii="Arial" w:eastAsia="Calibri" w:hAnsi="Arial" w:cs="Arial"/>
          <w:color w:val="1D2129"/>
          <w:sz w:val="24"/>
          <w:szCs w:val="24"/>
          <w:shd w:val="clear" w:color="auto" w:fill="EFF1F3"/>
        </w:rPr>
        <w:t xml:space="preserve">noti </w:t>
      </w:r>
      <w:r w:rsidR="00565AE4">
        <w:rPr>
          <w:rFonts w:ascii="Arial" w:eastAsia="Calibri" w:hAnsi="Arial" w:cs="Arial"/>
          <w:color w:val="1D2129"/>
          <w:sz w:val="24"/>
          <w:szCs w:val="24"/>
          <w:shd w:val="clear" w:color="auto" w:fill="EFF1F3"/>
        </w:rPr>
        <w:t xml:space="preserve"> nella ricerca</w:t>
      </w:r>
      <w:r w:rsidR="00565AE4" w:rsidRPr="00565AE4">
        <w:rPr>
          <w:rFonts w:ascii="Arial" w:eastAsia="Calibri" w:hAnsi="Arial" w:cs="Arial"/>
          <w:color w:val="1D2129"/>
          <w:sz w:val="24"/>
          <w:szCs w:val="24"/>
          <w:shd w:val="clear" w:color="auto" w:fill="EFF1F3"/>
        </w:rPr>
        <w:t xml:space="preserve"> clinica sono quel</w:t>
      </w:r>
      <w:r w:rsidR="00565AE4">
        <w:rPr>
          <w:rFonts w:ascii="Arial" w:eastAsia="Calibri" w:hAnsi="Arial" w:cs="Arial"/>
          <w:color w:val="1D2129"/>
          <w:sz w:val="24"/>
          <w:szCs w:val="24"/>
          <w:shd w:val="clear" w:color="auto" w:fill="EFF1F3"/>
        </w:rPr>
        <w:t>l</w:t>
      </w:r>
      <w:r w:rsidR="00565AE4" w:rsidRPr="00565AE4">
        <w:rPr>
          <w:rFonts w:ascii="Arial" w:eastAsia="Calibri" w:hAnsi="Arial" w:cs="Arial"/>
          <w:color w:val="1D2129"/>
          <w:sz w:val="24"/>
          <w:szCs w:val="24"/>
          <w:shd w:val="clear" w:color="auto" w:fill="EFF1F3"/>
        </w:rPr>
        <w:t xml:space="preserve">o di </w:t>
      </w:r>
      <w:proofErr w:type="spellStart"/>
      <w:r w:rsidR="00565AE4" w:rsidRPr="00565AE4">
        <w:rPr>
          <w:rFonts w:ascii="Arial" w:eastAsia="Calibri" w:hAnsi="Arial" w:cs="Arial"/>
          <w:color w:val="1D2129"/>
          <w:sz w:val="24"/>
          <w:szCs w:val="24"/>
          <w:shd w:val="clear" w:color="auto" w:fill="EFF1F3"/>
        </w:rPr>
        <w:t>Fried</w:t>
      </w:r>
      <w:proofErr w:type="spellEnd"/>
      <w:r w:rsidR="00565AE4" w:rsidRPr="00565AE4">
        <w:rPr>
          <w:rFonts w:ascii="Arial" w:eastAsia="Calibri" w:hAnsi="Arial" w:cs="Arial"/>
          <w:color w:val="1D2129"/>
          <w:sz w:val="24"/>
          <w:szCs w:val="24"/>
          <w:shd w:val="clear" w:color="auto" w:fill="EFF1F3"/>
        </w:rPr>
        <w:t xml:space="preserve"> che individua il fenotipo della fragilità e quello di </w:t>
      </w:r>
      <w:proofErr w:type="spellStart"/>
      <w:r w:rsidR="00565AE4" w:rsidRPr="00565AE4">
        <w:rPr>
          <w:rFonts w:ascii="Arial" w:eastAsia="Calibri" w:hAnsi="Arial" w:cs="Arial"/>
          <w:color w:val="1D2129"/>
          <w:sz w:val="24"/>
          <w:szCs w:val="24"/>
          <w:shd w:val="clear" w:color="auto" w:fill="EFF1F3"/>
        </w:rPr>
        <w:t>Rockwood</w:t>
      </w:r>
      <w:proofErr w:type="spellEnd"/>
      <w:r w:rsidR="00565AE4" w:rsidRPr="00565AE4">
        <w:rPr>
          <w:rFonts w:ascii="Arial" w:eastAsia="Calibri" w:hAnsi="Arial" w:cs="Arial"/>
          <w:color w:val="1D2129"/>
          <w:sz w:val="24"/>
          <w:szCs w:val="24"/>
          <w:shd w:val="clear" w:color="auto" w:fill="EFF1F3"/>
        </w:rPr>
        <w:t xml:space="preserve">  che si basa sulla somma di malattie o </w:t>
      </w:r>
      <w:r>
        <w:rPr>
          <w:rFonts w:ascii="Arial" w:eastAsia="Calibri" w:hAnsi="Arial" w:cs="Arial"/>
          <w:color w:val="1D2129"/>
          <w:sz w:val="24"/>
          <w:szCs w:val="24"/>
          <w:shd w:val="clear" w:color="auto" w:fill="EFF1F3"/>
        </w:rPr>
        <w:t>condizioni morbose (esiste</w:t>
      </w:r>
      <w:r w:rsidR="00565AE4" w:rsidRPr="00565AE4">
        <w:rPr>
          <w:rFonts w:ascii="Arial" w:eastAsia="Calibri" w:hAnsi="Arial" w:cs="Arial"/>
          <w:color w:val="1D2129"/>
          <w:sz w:val="24"/>
          <w:szCs w:val="24"/>
          <w:shd w:val="clear" w:color="auto" w:fill="EFF1F3"/>
        </w:rPr>
        <w:t xml:space="preserve"> il </w:t>
      </w:r>
      <w:proofErr w:type="spellStart"/>
      <w:r w:rsidR="00565AE4" w:rsidRPr="00565AE4">
        <w:rPr>
          <w:rFonts w:ascii="Arial" w:eastAsia="Calibri" w:hAnsi="Arial" w:cs="Arial"/>
          <w:color w:val="1D2129"/>
          <w:sz w:val="24"/>
          <w:szCs w:val="24"/>
          <w:shd w:val="clear" w:color="auto" w:fill="EFF1F3"/>
        </w:rPr>
        <w:t>frailty</w:t>
      </w:r>
      <w:proofErr w:type="spellEnd"/>
      <w:r w:rsidR="00565AE4" w:rsidRPr="00565AE4">
        <w:rPr>
          <w:rFonts w:ascii="Arial" w:eastAsia="Calibri" w:hAnsi="Arial" w:cs="Arial"/>
          <w:color w:val="1D2129"/>
          <w:sz w:val="24"/>
          <w:szCs w:val="24"/>
          <w:shd w:val="clear" w:color="auto" w:fill="EFF1F3"/>
        </w:rPr>
        <w:t xml:space="preserve"> </w:t>
      </w:r>
      <w:proofErr w:type="spellStart"/>
      <w:r w:rsidR="00565AE4" w:rsidRPr="00565AE4">
        <w:rPr>
          <w:rFonts w:ascii="Arial" w:eastAsia="Calibri" w:hAnsi="Arial" w:cs="Arial"/>
          <w:color w:val="1D2129"/>
          <w:sz w:val="24"/>
          <w:szCs w:val="24"/>
          <w:shd w:val="clear" w:color="auto" w:fill="EFF1F3"/>
        </w:rPr>
        <w:t>index</w:t>
      </w:r>
      <w:proofErr w:type="spellEnd"/>
      <w:r w:rsidR="00565AE4" w:rsidRPr="00565AE4">
        <w:rPr>
          <w:rFonts w:ascii="Arial" w:eastAsia="Calibri" w:hAnsi="Arial" w:cs="Arial"/>
          <w:color w:val="1D2129"/>
          <w:sz w:val="24"/>
          <w:szCs w:val="24"/>
          <w:shd w:val="clear" w:color="auto" w:fill="EFF1F3"/>
        </w:rPr>
        <w:t xml:space="preserve"> elettronico che fa riferiment</w:t>
      </w:r>
      <w:r>
        <w:rPr>
          <w:rFonts w:ascii="Arial" w:eastAsia="Calibri" w:hAnsi="Arial" w:cs="Arial"/>
          <w:color w:val="1D2129"/>
          <w:sz w:val="24"/>
          <w:szCs w:val="24"/>
          <w:shd w:val="clear" w:color="auto" w:fill="EFF1F3"/>
        </w:rPr>
        <w:t>o alle malattie presenti). Q</w:t>
      </w:r>
      <w:r w:rsidR="00565AE4" w:rsidRPr="00565AE4">
        <w:rPr>
          <w:rFonts w:ascii="Arial" w:eastAsia="Calibri" w:hAnsi="Arial" w:cs="Arial"/>
          <w:color w:val="1D2129"/>
          <w:sz w:val="24"/>
          <w:szCs w:val="24"/>
          <w:shd w:val="clear" w:color="auto" w:fill="EFF1F3"/>
        </w:rPr>
        <w:t xml:space="preserve">ui c’è sovrapposizione fra </w:t>
      </w:r>
      <w:proofErr w:type="spellStart"/>
      <w:r w:rsidR="00565AE4" w:rsidRPr="00565AE4">
        <w:rPr>
          <w:rFonts w:ascii="Arial" w:eastAsia="Calibri" w:hAnsi="Arial" w:cs="Arial"/>
          <w:color w:val="1D2129"/>
          <w:sz w:val="24"/>
          <w:szCs w:val="24"/>
          <w:shd w:val="clear" w:color="auto" w:fill="EFF1F3"/>
        </w:rPr>
        <w:t>multimorbilità</w:t>
      </w:r>
      <w:proofErr w:type="spellEnd"/>
      <w:r w:rsidR="00565AE4" w:rsidRPr="00565AE4">
        <w:rPr>
          <w:rFonts w:ascii="Arial" w:eastAsia="Calibri" w:hAnsi="Arial" w:cs="Arial"/>
          <w:color w:val="1D2129"/>
          <w:sz w:val="24"/>
          <w:szCs w:val="24"/>
          <w:shd w:val="clear" w:color="auto" w:fill="EFF1F3"/>
        </w:rPr>
        <w:t xml:space="preserve"> </w:t>
      </w:r>
      <w:r w:rsidR="00196A91">
        <w:rPr>
          <w:rFonts w:ascii="Arial" w:eastAsia="Calibri" w:hAnsi="Arial" w:cs="Arial"/>
          <w:color w:val="1D2129"/>
          <w:sz w:val="24"/>
          <w:szCs w:val="24"/>
          <w:shd w:val="clear" w:color="auto" w:fill="EFF1F3"/>
        </w:rPr>
        <w:t xml:space="preserve">e fragilità; sono termini </w:t>
      </w:r>
      <w:r>
        <w:rPr>
          <w:rFonts w:ascii="Arial" w:eastAsia="Calibri" w:hAnsi="Arial" w:cs="Arial"/>
          <w:color w:val="1D2129"/>
          <w:sz w:val="24"/>
          <w:szCs w:val="24"/>
          <w:shd w:val="clear" w:color="auto" w:fill="EFF1F3"/>
        </w:rPr>
        <w:t xml:space="preserve">a volte </w:t>
      </w:r>
      <w:r w:rsidR="00565AE4" w:rsidRPr="00565AE4">
        <w:rPr>
          <w:rFonts w:ascii="Arial" w:eastAsia="Calibri" w:hAnsi="Arial" w:cs="Arial"/>
          <w:color w:val="1D2129"/>
          <w:sz w:val="24"/>
          <w:szCs w:val="24"/>
          <w:shd w:val="clear" w:color="auto" w:fill="EFF1F3"/>
        </w:rPr>
        <w:t>utilizzati per definire il profilo di rischio del paziente  anziano e per prendere decisioni cliniche  o  anche esprimere un giudizio prognostico</w:t>
      </w:r>
      <w:r w:rsidR="00565AE4">
        <w:rPr>
          <w:rFonts w:ascii="Arial" w:eastAsia="Calibri" w:hAnsi="Arial" w:cs="Arial"/>
          <w:color w:val="1D2129"/>
          <w:sz w:val="24"/>
          <w:szCs w:val="24"/>
          <w:shd w:val="clear" w:color="auto" w:fill="EFF1F3"/>
        </w:rPr>
        <w:t xml:space="preserve">. </w:t>
      </w:r>
      <w:r w:rsidR="00196A91">
        <w:rPr>
          <w:rFonts w:ascii="Arial" w:eastAsia="Calibri" w:hAnsi="Arial" w:cs="Arial"/>
          <w:color w:val="1D2129"/>
          <w:sz w:val="24"/>
          <w:szCs w:val="24"/>
          <w:shd w:val="clear" w:color="auto" w:fill="EFF1F3"/>
        </w:rPr>
        <w:t xml:space="preserve">Non si deve dimenticare  che l’ anziano fragile ospedalizzato va incontro a </w:t>
      </w:r>
      <w:proofErr w:type="spellStart"/>
      <w:r w:rsidR="00196A91">
        <w:rPr>
          <w:rFonts w:ascii="Arial" w:eastAsia="Calibri" w:hAnsi="Arial" w:cs="Arial"/>
          <w:color w:val="1D2129"/>
          <w:sz w:val="24"/>
          <w:szCs w:val="24"/>
          <w:shd w:val="clear" w:color="auto" w:fill="EFF1F3"/>
        </w:rPr>
        <w:t>riospedalizzazione</w:t>
      </w:r>
      <w:proofErr w:type="spellEnd"/>
      <w:r w:rsidR="00196A91">
        <w:rPr>
          <w:rFonts w:ascii="Arial" w:eastAsia="Calibri" w:hAnsi="Arial" w:cs="Arial"/>
          <w:color w:val="1D2129"/>
          <w:sz w:val="24"/>
          <w:szCs w:val="24"/>
          <w:shd w:val="clear" w:color="auto" w:fill="EFF1F3"/>
        </w:rPr>
        <w:t xml:space="preserve"> a 6 me</w:t>
      </w:r>
      <w:r w:rsidR="00B61656">
        <w:rPr>
          <w:rFonts w:ascii="Arial" w:eastAsia="Calibri" w:hAnsi="Arial" w:cs="Arial"/>
          <w:color w:val="1D2129"/>
          <w:sz w:val="24"/>
          <w:szCs w:val="24"/>
          <w:shd w:val="clear" w:color="auto" w:fill="EFF1F3"/>
        </w:rPr>
        <w:t xml:space="preserve">si molto elevata (40% in media): questo dato rappresenta un insuccesso per il </w:t>
      </w:r>
      <w:r>
        <w:rPr>
          <w:rFonts w:ascii="Arial" w:eastAsia="Calibri" w:hAnsi="Arial" w:cs="Arial"/>
          <w:color w:val="1D2129"/>
          <w:sz w:val="24"/>
          <w:szCs w:val="24"/>
          <w:shd w:val="clear" w:color="auto" w:fill="EFF1F3"/>
        </w:rPr>
        <w:t>sistema delle cure territoriali che soprattutto in Italia dovrebbero essere migliorate.</w:t>
      </w:r>
    </w:p>
    <w:p w:rsidR="0065350E" w:rsidRDefault="00565AE4" w:rsidP="005F6288">
      <w:pPr>
        <w:shd w:val="clear" w:color="auto" w:fill="FFFFFF" w:themeFill="background1"/>
        <w:spacing w:after="160" w:line="256" w:lineRule="auto"/>
        <w:jc w:val="both"/>
        <w:rPr>
          <w:rFonts w:ascii="Arial" w:hAnsi="Arial" w:cs="Arial"/>
          <w:sz w:val="24"/>
          <w:szCs w:val="24"/>
        </w:rPr>
      </w:pPr>
      <w:r w:rsidRPr="0065350E">
        <w:rPr>
          <w:rFonts w:ascii="Arial" w:eastAsia="Calibri" w:hAnsi="Arial" w:cs="Arial"/>
          <w:color w:val="1D2129"/>
          <w:sz w:val="24"/>
          <w:szCs w:val="24"/>
          <w:shd w:val="clear" w:color="auto" w:fill="EFF1F3"/>
        </w:rPr>
        <w:t>Per quanto riguarda la fragilità nel paziente anziano</w:t>
      </w:r>
      <w:r w:rsidRPr="0065350E">
        <w:rPr>
          <w:rFonts w:ascii="Arial" w:eastAsia="Calibri" w:hAnsi="Arial" w:cs="Arial"/>
          <w:color w:val="1D2129"/>
          <w:sz w:val="24"/>
          <w:szCs w:val="24"/>
          <w:u w:val="single"/>
          <w:shd w:val="clear" w:color="auto" w:fill="EFF1F3"/>
        </w:rPr>
        <w:t xml:space="preserve"> ospedalizzato</w:t>
      </w:r>
      <w:r w:rsidRPr="0065350E">
        <w:rPr>
          <w:rFonts w:ascii="Arial" w:eastAsia="Calibri" w:hAnsi="Arial" w:cs="Arial"/>
          <w:color w:val="1D2129"/>
          <w:sz w:val="24"/>
          <w:szCs w:val="24"/>
          <w:shd w:val="clear" w:color="auto" w:fill="EFF1F3"/>
        </w:rPr>
        <w:t xml:space="preserve"> segnalo il tentativo di </w:t>
      </w:r>
      <w:r w:rsidR="00BB75A0" w:rsidRPr="0065350E">
        <w:rPr>
          <w:rFonts w:ascii="Arial" w:hAnsi="Arial" w:cs="Arial"/>
          <w:sz w:val="24"/>
          <w:szCs w:val="24"/>
        </w:rPr>
        <w:t xml:space="preserve"> stratificare i</w:t>
      </w:r>
      <w:r w:rsidR="002A1D70">
        <w:rPr>
          <w:rFonts w:ascii="Arial" w:hAnsi="Arial" w:cs="Arial"/>
          <w:sz w:val="24"/>
          <w:szCs w:val="24"/>
        </w:rPr>
        <w:t xml:space="preserve">l paziente anziano </w:t>
      </w:r>
      <w:r w:rsidR="00BB75A0" w:rsidRPr="0065350E">
        <w:rPr>
          <w:rFonts w:ascii="Arial" w:hAnsi="Arial" w:cs="Arial"/>
          <w:sz w:val="24"/>
          <w:szCs w:val="24"/>
        </w:rPr>
        <w:t xml:space="preserve"> ricorrendo al</w:t>
      </w:r>
      <w:r w:rsidR="001853D2" w:rsidRPr="0065350E">
        <w:rPr>
          <w:rFonts w:ascii="Arial" w:hAnsi="Arial" w:cs="Arial"/>
          <w:sz w:val="24"/>
          <w:szCs w:val="24"/>
        </w:rPr>
        <w:t xml:space="preserve">l’  </w:t>
      </w:r>
      <w:r w:rsidR="001853D2" w:rsidRPr="0065350E">
        <w:rPr>
          <w:rFonts w:ascii="Arial" w:hAnsi="Arial" w:cs="Arial"/>
          <w:b/>
          <w:sz w:val="24"/>
          <w:szCs w:val="24"/>
        </w:rPr>
        <w:t xml:space="preserve">Hospital  </w:t>
      </w:r>
      <w:proofErr w:type="spellStart"/>
      <w:r w:rsidR="001853D2" w:rsidRPr="0065350E">
        <w:rPr>
          <w:rFonts w:ascii="Arial" w:hAnsi="Arial" w:cs="Arial"/>
          <w:b/>
          <w:sz w:val="24"/>
          <w:szCs w:val="24"/>
        </w:rPr>
        <w:t>F</w:t>
      </w:r>
      <w:r w:rsidR="00D76C2D" w:rsidRPr="0065350E">
        <w:rPr>
          <w:rFonts w:ascii="Arial" w:hAnsi="Arial" w:cs="Arial"/>
          <w:b/>
          <w:sz w:val="24"/>
          <w:szCs w:val="24"/>
        </w:rPr>
        <w:t>railty</w:t>
      </w:r>
      <w:proofErr w:type="spellEnd"/>
      <w:r w:rsidR="00D76C2D" w:rsidRPr="0065350E">
        <w:rPr>
          <w:rFonts w:ascii="Arial" w:hAnsi="Arial" w:cs="Arial"/>
          <w:b/>
          <w:sz w:val="24"/>
          <w:szCs w:val="24"/>
        </w:rPr>
        <w:t xml:space="preserve"> </w:t>
      </w:r>
      <w:proofErr w:type="spellStart"/>
      <w:r w:rsidR="00D76C2D" w:rsidRPr="0065350E">
        <w:rPr>
          <w:rFonts w:ascii="Arial" w:hAnsi="Arial" w:cs="Arial"/>
          <w:b/>
          <w:sz w:val="24"/>
          <w:szCs w:val="24"/>
        </w:rPr>
        <w:t>Risk</w:t>
      </w:r>
      <w:proofErr w:type="spellEnd"/>
      <w:r w:rsidR="00D76C2D" w:rsidRPr="0065350E">
        <w:rPr>
          <w:rFonts w:ascii="Arial" w:hAnsi="Arial" w:cs="Arial"/>
          <w:b/>
          <w:sz w:val="24"/>
          <w:szCs w:val="24"/>
        </w:rPr>
        <w:t xml:space="preserve"> Score</w:t>
      </w:r>
      <w:r w:rsidR="00D76C2D" w:rsidRPr="0065350E">
        <w:rPr>
          <w:rFonts w:ascii="Arial" w:hAnsi="Arial" w:cs="Arial"/>
          <w:sz w:val="24"/>
          <w:szCs w:val="24"/>
        </w:rPr>
        <w:t xml:space="preserve"> </w:t>
      </w:r>
      <w:r w:rsidR="001853D2" w:rsidRPr="0065350E">
        <w:rPr>
          <w:rFonts w:ascii="Arial" w:hAnsi="Arial" w:cs="Arial"/>
          <w:sz w:val="24"/>
          <w:szCs w:val="24"/>
        </w:rPr>
        <w:t xml:space="preserve">(HFRS) </w:t>
      </w:r>
      <w:r w:rsidR="00D76C2D" w:rsidRPr="0065350E">
        <w:rPr>
          <w:rFonts w:ascii="Arial" w:hAnsi="Arial" w:cs="Arial"/>
          <w:sz w:val="24"/>
          <w:szCs w:val="24"/>
        </w:rPr>
        <w:t xml:space="preserve">utilizzando i  </w:t>
      </w:r>
      <w:r w:rsidR="00BB75A0" w:rsidRPr="0065350E">
        <w:rPr>
          <w:rFonts w:ascii="Arial" w:hAnsi="Arial" w:cs="Arial"/>
          <w:sz w:val="24"/>
          <w:szCs w:val="24"/>
        </w:rPr>
        <w:t xml:space="preserve">dati della cartella clinica elettronica e </w:t>
      </w:r>
      <w:r w:rsidR="00D76C2D" w:rsidRPr="0065350E">
        <w:rPr>
          <w:rFonts w:ascii="Arial" w:hAnsi="Arial" w:cs="Arial"/>
          <w:sz w:val="24"/>
          <w:szCs w:val="24"/>
        </w:rPr>
        <w:t xml:space="preserve">in particolare </w:t>
      </w:r>
      <w:r w:rsidR="00BB75A0" w:rsidRPr="0065350E">
        <w:rPr>
          <w:rFonts w:ascii="Arial" w:hAnsi="Arial" w:cs="Arial"/>
          <w:sz w:val="24"/>
          <w:szCs w:val="24"/>
        </w:rPr>
        <w:t>della valutazione multidimensionale geriatrica.</w:t>
      </w:r>
      <w:r w:rsidR="001853D2" w:rsidRPr="0065350E">
        <w:rPr>
          <w:rFonts w:ascii="Arial" w:hAnsi="Arial" w:cs="Arial"/>
          <w:sz w:val="24"/>
          <w:szCs w:val="24"/>
        </w:rPr>
        <w:t xml:space="preserve"> </w:t>
      </w:r>
      <w:r w:rsidR="00D76C2D" w:rsidRPr="0065350E">
        <w:rPr>
          <w:rFonts w:ascii="Arial" w:hAnsi="Arial" w:cs="Arial"/>
          <w:sz w:val="24"/>
          <w:szCs w:val="24"/>
        </w:rPr>
        <w:t>Il prob</w:t>
      </w:r>
      <w:r w:rsidR="0065350E">
        <w:rPr>
          <w:rFonts w:ascii="Arial" w:hAnsi="Arial" w:cs="Arial"/>
          <w:sz w:val="24"/>
          <w:szCs w:val="24"/>
        </w:rPr>
        <w:t xml:space="preserve">lema pratico è rappresentato dalle decisioni e procedure </w:t>
      </w:r>
      <w:r w:rsidR="002A1D70">
        <w:rPr>
          <w:rFonts w:ascii="Arial" w:hAnsi="Arial" w:cs="Arial"/>
          <w:sz w:val="24"/>
          <w:szCs w:val="24"/>
        </w:rPr>
        <w:t xml:space="preserve">differenziate  per trattare </w:t>
      </w:r>
      <w:r w:rsidR="001853D2" w:rsidRPr="0065350E">
        <w:rPr>
          <w:rFonts w:ascii="Arial" w:hAnsi="Arial" w:cs="Arial"/>
          <w:sz w:val="24"/>
          <w:szCs w:val="24"/>
        </w:rPr>
        <w:t xml:space="preserve">la casistica  stratificata </w:t>
      </w:r>
      <w:r w:rsidR="00BB75A0" w:rsidRPr="0065350E">
        <w:rPr>
          <w:rFonts w:ascii="Arial" w:hAnsi="Arial" w:cs="Arial"/>
          <w:sz w:val="24"/>
          <w:szCs w:val="24"/>
        </w:rPr>
        <w:t xml:space="preserve"> dal HFRS   (vedi </w:t>
      </w:r>
      <w:r w:rsidR="00BB75A0" w:rsidRPr="0065350E">
        <w:rPr>
          <w:rFonts w:ascii="Arial" w:hAnsi="Arial" w:cs="Arial"/>
          <w:color w:val="FF0000"/>
          <w:sz w:val="24"/>
          <w:szCs w:val="24"/>
        </w:rPr>
        <w:t>allegato</w:t>
      </w:r>
      <w:r w:rsidR="009F1A3D">
        <w:rPr>
          <w:rFonts w:ascii="Arial" w:hAnsi="Arial" w:cs="Arial"/>
          <w:color w:val="FF0000"/>
          <w:sz w:val="24"/>
          <w:szCs w:val="24"/>
        </w:rPr>
        <w:t xml:space="preserve"> 1</w:t>
      </w:r>
      <w:r w:rsidR="00BB75A0" w:rsidRPr="0065350E">
        <w:rPr>
          <w:rFonts w:ascii="Arial" w:hAnsi="Arial" w:cs="Arial"/>
          <w:sz w:val="24"/>
          <w:szCs w:val="24"/>
        </w:rPr>
        <w:t>);</w:t>
      </w:r>
      <w:r w:rsidR="001853D2" w:rsidRPr="0065350E">
        <w:rPr>
          <w:rFonts w:ascii="Arial" w:hAnsi="Arial" w:cs="Arial"/>
          <w:sz w:val="24"/>
          <w:szCs w:val="24"/>
        </w:rPr>
        <w:t xml:space="preserve"> nelle news della SIGG è stata già </w:t>
      </w:r>
      <w:r w:rsidR="008D0999" w:rsidRPr="0065350E">
        <w:rPr>
          <w:rFonts w:ascii="Arial" w:hAnsi="Arial" w:cs="Arial"/>
          <w:sz w:val="24"/>
          <w:szCs w:val="24"/>
        </w:rPr>
        <w:t xml:space="preserve"> proposta l’ attività motoria con esercizi anche di resistenza per gli anziani fragili ospedalizzati di età &gt; 75 anni; si è fatto riferimento in questa casistica selezionata al </w:t>
      </w:r>
      <w:proofErr w:type="spellStart"/>
      <w:r w:rsidR="008D0999" w:rsidRPr="0065350E">
        <w:rPr>
          <w:rFonts w:ascii="Arial" w:hAnsi="Arial" w:cs="Arial"/>
          <w:sz w:val="24"/>
          <w:szCs w:val="24"/>
        </w:rPr>
        <w:t>ViviFrail</w:t>
      </w:r>
      <w:proofErr w:type="spellEnd"/>
      <w:r w:rsidR="008D0999" w:rsidRPr="0065350E">
        <w:rPr>
          <w:rFonts w:ascii="Arial" w:hAnsi="Arial" w:cs="Arial"/>
          <w:sz w:val="24"/>
          <w:szCs w:val="24"/>
        </w:rPr>
        <w:t xml:space="preserve"> </w:t>
      </w:r>
      <w:r w:rsidR="000728ED" w:rsidRPr="0065350E">
        <w:rPr>
          <w:rFonts w:ascii="Arial" w:hAnsi="Arial" w:cs="Arial"/>
          <w:sz w:val="24"/>
          <w:szCs w:val="24"/>
        </w:rPr>
        <w:t xml:space="preserve">    </w:t>
      </w:r>
      <w:r w:rsidR="007B473D" w:rsidRPr="0065350E">
        <w:rPr>
          <w:rFonts w:ascii="Arial" w:hAnsi="Arial" w:cs="Arial"/>
          <w:sz w:val="24"/>
          <w:szCs w:val="24"/>
        </w:rPr>
        <w:t>http://www.vivifrail.com/.</w:t>
      </w:r>
      <w:r w:rsidR="000728ED" w:rsidRPr="0065350E">
        <w:rPr>
          <w:rFonts w:ascii="Arial" w:hAnsi="Arial" w:cs="Arial"/>
          <w:sz w:val="24"/>
          <w:szCs w:val="24"/>
        </w:rPr>
        <w:t xml:space="preserve">      </w:t>
      </w:r>
    </w:p>
    <w:p w:rsidR="000F4E1D" w:rsidRPr="00BE2CF0" w:rsidRDefault="0065350E" w:rsidP="005F6288">
      <w:pPr>
        <w:shd w:val="clear" w:color="auto" w:fill="FFFFFF" w:themeFill="background1"/>
        <w:spacing w:after="160" w:line="256" w:lineRule="auto"/>
        <w:jc w:val="both"/>
        <w:rPr>
          <w:rFonts w:ascii="Arial" w:eastAsia="Calibri" w:hAnsi="Arial" w:cs="Arial"/>
          <w:sz w:val="24"/>
          <w:szCs w:val="24"/>
          <w:shd w:val="clear" w:color="auto" w:fill="EFF1F3"/>
        </w:rPr>
      </w:pPr>
      <w:r w:rsidRPr="00BE2CF0">
        <w:rPr>
          <w:rFonts w:ascii="Arial" w:hAnsi="Arial" w:cs="Arial"/>
          <w:sz w:val="24"/>
          <w:szCs w:val="24"/>
        </w:rPr>
        <w:t>L</w:t>
      </w:r>
      <w:r w:rsidR="000728ED" w:rsidRPr="00BE2CF0">
        <w:rPr>
          <w:rFonts w:ascii="Arial" w:hAnsi="Arial" w:cs="Arial"/>
          <w:sz w:val="24"/>
          <w:szCs w:val="24"/>
        </w:rPr>
        <w:t>a definizione di fragilità dell’ anziano osp</w:t>
      </w:r>
      <w:r w:rsidR="007B473D" w:rsidRPr="00BE2CF0">
        <w:rPr>
          <w:rFonts w:ascii="Arial" w:hAnsi="Arial" w:cs="Arial"/>
          <w:sz w:val="24"/>
          <w:szCs w:val="24"/>
        </w:rPr>
        <w:t xml:space="preserve">edalizzato comporta la disponibilità </w:t>
      </w:r>
      <w:r w:rsidR="000728ED" w:rsidRPr="00BE2CF0">
        <w:rPr>
          <w:rFonts w:ascii="Arial" w:hAnsi="Arial" w:cs="Arial"/>
          <w:sz w:val="24"/>
          <w:szCs w:val="24"/>
        </w:rPr>
        <w:t xml:space="preserve"> di interventi operativi adeguati ed efficaci; in caso contrario è soltanto accademia</w:t>
      </w:r>
      <w:r w:rsidR="001853D2" w:rsidRPr="00BE2CF0">
        <w:rPr>
          <w:rFonts w:ascii="Arial" w:hAnsi="Arial" w:cs="Arial"/>
          <w:sz w:val="24"/>
          <w:szCs w:val="24"/>
        </w:rPr>
        <w:t>,</w:t>
      </w:r>
      <w:r w:rsidR="000728ED" w:rsidRPr="00BE2CF0">
        <w:rPr>
          <w:rFonts w:ascii="Arial" w:hAnsi="Arial" w:cs="Arial"/>
          <w:sz w:val="24"/>
          <w:szCs w:val="24"/>
        </w:rPr>
        <w:t xml:space="preserve"> poco utile al malato.</w:t>
      </w:r>
      <w:r w:rsidRPr="00BE2CF0">
        <w:rPr>
          <w:rFonts w:ascii="Arial" w:hAnsi="Arial" w:cs="Arial"/>
          <w:sz w:val="24"/>
          <w:szCs w:val="24"/>
        </w:rPr>
        <w:t xml:space="preserve"> </w:t>
      </w:r>
      <w:r w:rsidR="008D0999" w:rsidRPr="00BE2CF0">
        <w:rPr>
          <w:rFonts w:ascii="Arial" w:hAnsi="Arial" w:cs="Arial"/>
          <w:sz w:val="24"/>
          <w:szCs w:val="24"/>
        </w:rPr>
        <w:t xml:space="preserve">I </w:t>
      </w:r>
      <w:r w:rsidR="00BB75A0" w:rsidRPr="00BE2CF0">
        <w:rPr>
          <w:rFonts w:ascii="Arial" w:hAnsi="Arial" w:cs="Arial"/>
          <w:sz w:val="24"/>
          <w:szCs w:val="24"/>
        </w:rPr>
        <w:t>codici diagnostici che</w:t>
      </w:r>
      <w:r w:rsidR="00D76C2D" w:rsidRPr="00BE2CF0">
        <w:rPr>
          <w:rFonts w:ascii="Arial" w:hAnsi="Arial" w:cs="Arial"/>
          <w:sz w:val="24"/>
          <w:szCs w:val="24"/>
        </w:rPr>
        <w:t xml:space="preserve"> si possono ottenere con il </w:t>
      </w:r>
      <w:r w:rsidR="00BB75A0" w:rsidRPr="00BE2CF0">
        <w:rPr>
          <w:rFonts w:ascii="Arial" w:hAnsi="Arial" w:cs="Arial"/>
          <w:sz w:val="24"/>
          <w:szCs w:val="24"/>
        </w:rPr>
        <w:t xml:space="preserve">modello </w:t>
      </w:r>
      <w:r w:rsidR="008D0999" w:rsidRPr="00BE2CF0">
        <w:rPr>
          <w:rFonts w:ascii="Arial" w:hAnsi="Arial" w:cs="Arial"/>
          <w:sz w:val="24"/>
          <w:szCs w:val="24"/>
        </w:rPr>
        <w:t xml:space="preserve">HFRC </w:t>
      </w:r>
      <w:r w:rsidRPr="00BE2CF0">
        <w:rPr>
          <w:rFonts w:ascii="Arial" w:hAnsi="Arial" w:cs="Arial"/>
          <w:sz w:val="24"/>
          <w:szCs w:val="24"/>
        </w:rPr>
        <w:t>sono</w:t>
      </w:r>
      <w:r w:rsidR="007B473D" w:rsidRPr="00BE2CF0">
        <w:rPr>
          <w:rFonts w:ascii="Arial" w:hAnsi="Arial" w:cs="Arial"/>
          <w:sz w:val="24"/>
          <w:szCs w:val="24"/>
        </w:rPr>
        <w:t xml:space="preserve"> definiti</w:t>
      </w:r>
      <w:r w:rsidR="001853D2" w:rsidRPr="00BE2CF0">
        <w:rPr>
          <w:rFonts w:ascii="Arial" w:hAnsi="Arial" w:cs="Arial"/>
          <w:sz w:val="24"/>
          <w:szCs w:val="24"/>
        </w:rPr>
        <w:t xml:space="preserve"> nella ricerca pubblicata</w:t>
      </w:r>
      <w:r w:rsidR="00BB75A0" w:rsidRPr="00BE2CF0">
        <w:rPr>
          <w:rFonts w:ascii="Arial" w:hAnsi="Arial" w:cs="Arial"/>
          <w:sz w:val="24"/>
          <w:szCs w:val="24"/>
        </w:rPr>
        <w:t xml:space="preserve"> ; per esempio E87 [</w:t>
      </w:r>
      <w:proofErr w:type="spellStart"/>
      <w:r w:rsidR="00BB75A0" w:rsidRPr="00BE2CF0">
        <w:rPr>
          <w:rFonts w:ascii="Arial" w:hAnsi="Arial" w:cs="Arial"/>
          <w:sz w:val="24"/>
          <w:szCs w:val="24"/>
        </w:rPr>
        <w:t>disorders</w:t>
      </w:r>
      <w:proofErr w:type="spellEnd"/>
      <w:r w:rsidR="00BB75A0" w:rsidRPr="00BE2CF0">
        <w:rPr>
          <w:rFonts w:ascii="Arial" w:hAnsi="Arial" w:cs="Arial"/>
          <w:sz w:val="24"/>
          <w:szCs w:val="24"/>
        </w:rPr>
        <w:t xml:space="preserve"> of </w:t>
      </w:r>
      <w:proofErr w:type="spellStart"/>
      <w:r w:rsidR="00BB75A0" w:rsidRPr="00BE2CF0">
        <w:rPr>
          <w:rFonts w:ascii="Arial" w:hAnsi="Arial" w:cs="Arial"/>
          <w:sz w:val="24"/>
          <w:szCs w:val="24"/>
        </w:rPr>
        <w:t>fluid</w:t>
      </w:r>
      <w:proofErr w:type="spellEnd"/>
      <w:r w:rsidR="00BB75A0" w:rsidRPr="00BE2CF0">
        <w:rPr>
          <w:rFonts w:ascii="Arial" w:hAnsi="Arial" w:cs="Arial"/>
          <w:sz w:val="24"/>
          <w:szCs w:val="24"/>
        </w:rPr>
        <w:t xml:space="preserve">, </w:t>
      </w:r>
      <w:proofErr w:type="spellStart"/>
      <w:r w:rsidR="00BB75A0" w:rsidRPr="00BE2CF0">
        <w:rPr>
          <w:rFonts w:ascii="Arial" w:hAnsi="Arial" w:cs="Arial"/>
          <w:sz w:val="24"/>
          <w:szCs w:val="24"/>
        </w:rPr>
        <w:t>electrolyte</w:t>
      </w:r>
      <w:proofErr w:type="spellEnd"/>
      <w:r w:rsidR="00BB75A0" w:rsidRPr="00BE2CF0">
        <w:rPr>
          <w:rFonts w:ascii="Arial" w:hAnsi="Arial" w:cs="Arial"/>
          <w:sz w:val="24"/>
          <w:szCs w:val="24"/>
        </w:rPr>
        <w:t xml:space="preserve">, and acid-base balance], E86 [volume </w:t>
      </w:r>
      <w:proofErr w:type="spellStart"/>
      <w:r w:rsidR="00BB75A0" w:rsidRPr="00BE2CF0">
        <w:rPr>
          <w:rFonts w:ascii="Arial" w:hAnsi="Arial" w:cs="Arial"/>
          <w:sz w:val="24"/>
          <w:szCs w:val="24"/>
        </w:rPr>
        <w:t>depletion</w:t>
      </w:r>
      <w:proofErr w:type="spellEnd"/>
      <w:r w:rsidR="00BB75A0" w:rsidRPr="00BE2CF0">
        <w:rPr>
          <w:rFonts w:ascii="Arial" w:hAnsi="Arial" w:cs="Arial"/>
          <w:sz w:val="24"/>
          <w:szCs w:val="24"/>
        </w:rPr>
        <w:t>], B95 [</w:t>
      </w:r>
      <w:proofErr w:type="spellStart"/>
      <w:r w:rsidR="00BB75A0" w:rsidRPr="00BE2CF0">
        <w:rPr>
          <w:rFonts w:ascii="Arial" w:hAnsi="Arial" w:cs="Arial"/>
          <w:sz w:val="24"/>
          <w:szCs w:val="24"/>
        </w:rPr>
        <w:t>Streptococcus</w:t>
      </w:r>
      <w:proofErr w:type="spellEnd"/>
      <w:r w:rsidR="00BB75A0" w:rsidRPr="00BE2CF0">
        <w:rPr>
          <w:rFonts w:ascii="Arial" w:hAnsi="Arial" w:cs="Arial"/>
          <w:sz w:val="24"/>
          <w:szCs w:val="24"/>
        </w:rPr>
        <w:t xml:space="preserve">, </w:t>
      </w:r>
      <w:proofErr w:type="spellStart"/>
      <w:r w:rsidR="00BB75A0" w:rsidRPr="00BE2CF0">
        <w:rPr>
          <w:rFonts w:ascii="Arial" w:hAnsi="Arial" w:cs="Arial"/>
          <w:sz w:val="24"/>
          <w:szCs w:val="24"/>
        </w:rPr>
        <w:t>Staphylococcus</w:t>
      </w:r>
      <w:proofErr w:type="spellEnd"/>
      <w:r w:rsidR="00BB75A0" w:rsidRPr="00BE2CF0">
        <w:rPr>
          <w:rFonts w:ascii="Arial" w:hAnsi="Arial" w:cs="Arial"/>
          <w:sz w:val="24"/>
          <w:szCs w:val="24"/>
        </w:rPr>
        <w:t xml:space="preserve">, and </w:t>
      </w:r>
      <w:proofErr w:type="spellStart"/>
      <w:r w:rsidR="00BB75A0" w:rsidRPr="00BE2CF0">
        <w:rPr>
          <w:rFonts w:ascii="Arial" w:hAnsi="Arial" w:cs="Arial"/>
          <w:sz w:val="24"/>
          <w:szCs w:val="24"/>
        </w:rPr>
        <w:t>Enterococcus</w:t>
      </w:r>
      <w:proofErr w:type="spellEnd"/>
      <w:r w:rsidR="00BB75A0" w:rsidRPr="00BE2CF0">
        <w:rPr>
          <w:rFonts w:ascii="Arial" w:hAnsi="Arial" w:cs="Arial"/>
          <w:sz w:val="24"/>
          <w:szCs w:val="24"/>
        </w:rPr>
        <w:t xml:space="preserve"> </w:t>
      </w:r>
      <w:proofErr w:type="spellStart"/>
      <w:r w:rsidR="00BB75A0" w:rsidRPr="00BE2CF0">
        <w:rPr>
          <w:rFonts w:ascii="Arial" w:hAnsi="Arial" w:cs="Arial"/>
          <w:sz w:val="24"/>
          <w:szCs w:val="24"/>
        </w:rPr>
        <w:t>as</w:t>
      </w:r>
      <w:proofErr w:type="spellEnd"/>
      <w:r w:rsidR="00BB75A0" w:rsidRPr="00BE2CF0">
        <w:rPr>
          <w:rFonts w:ascii="Arial" w:hAnsi="Arial" w:cs="Arial"/>
          <w:sz w:val="24"/>
          <w:szCs w:val="24"/>
        </w:rPr>
        <w:t xml:space="preserve"> cause of </w:t>
      </w:r>
      <w:proofErr w:type="spellStart"/>
      <w:r w:rsidR="00BB75A0" w:rsidRPr="00BE2CF0">
        <w:rPr>
          <w:rFonts w:ascii="Arial" w:hAnsi="Arial" w:cs="Arial"/>
          <w:sz w:val="24"/>
          <w:szCs w:val="24"/>
        </w:rPr>
        <w:t>diseases</w:t>
      </w:r>
      <w:proofErr w:type="spellEnd"/>
      <w:r w:rsidR="00BB75A0" w:rsidRPr="00BE2CF0">
        <w:rPr>
          <w:rFonts w:ascii="Arial" w:hAnsi="Arial" w:cs="Arial"/>
          <w:sz w:val="24"/>
          <w:szCs w:val="24"/>
        </w:rPr>
        <w:t>], and R56 [</w:t>
      </w:r>
      <w:proofErr w:type="spellStart"/>
      <w:r w:rsidR="00BB75A0" w:rsidRPr="00BE2CF0">
        <w:rPr>
          <w:rFonts w:ascii="Arial" w:hAnsi="Arial" w:cs="Arial"/>
          <w:sz w:val="24"/>
          <w:szCs w:val="24"/>
        </w:rPr>
        <w:t>convulsions</w:t>
      </w:r>
      <w:proofErr w:type="spellEnd"/>
      <w:r w:rsidR="00BB75A0" w:rsidRPr="00BE2CF0">
        <w:rPr>
          <w:rFonts w:ascii="Arial" w:hAnsi="Arial" w:cs="Arial"/>
          <w:sz w:val="24"/>
          <w:szCs w:val="24"/>
        </w:rPr>
        <w:t>])</w:t>
      </w:r>
      <w:r w:rsidRPr="00BE2CF0">
        <w:rPr>
          <w:rFonts w:ascii="Arial" w:hAnsi="Arial" w:cs="Arial"/>
          <w:sz w:val="24"/>
          <w:szCs w:val="24"/>
        </w:rPr>
        <w:t>, ecc</w:t>
      </w:r>
      <w:r w:rsidR="00BB75A0" w:rsidRPr="00BE2CF0">
        <w:rPr>
          <w:rFonts w:ascii="Arial" w:hAnsi="Arial" w:cs="Arial"/>
          <w:sz w:val="24"/>
          <w:szCs w:val="24"/>
        </w:rPr>
        <w:t xml:space="preserve">. </w:t>
      </w:r>
      <w:r w:rsidR="008D0999" w:rsidRPr="00BE2CF0">
        <w:rPr>
          <w:rFonts w:ascii="Arial" w:hAnsi="Arial" w:cs="Arial"/>
          <w:sz w:val="24"/>
          <w:szCs w:val="24"/>
        </w:rPr>
        <w:t>La costruzione è abbastanza complessa e forse non sarebbe</w:t>
      </w:r>
      <w:r w:rsidR="001853D2" w:rsidRPr="00BE2CF0">
        <w:rPr>
          <w:rFonts w:ascii="Arial" w:hAnsi="Arial" w:cs="Arial"/>
          <w:sz w:val="24"/>
          <w:szCs w:val="24"/>
        </w:rPr>
        <w:t xml:space="preserve"> alla portata di molti ospedali soprattutto in Italia. </w:t>
      </w:r>
      <w:r w:rsidR="007B473D" w:rsidRPr="00BE2CF0">
        <w:rPr>
          <w:rFonts w:ascii="Arial" w:eastAsia="Calibri" w:hAnsi="Arial" w:cs="Arial"/>
          <w:sz w:val="24"/>
          <w:szCs w:val="24"/>
          <w:shd w:val="clear" w:color="auto" w:fill="EFF1F3"/>
        </w:rPr>
        <w:t xml:space="preserve"> </w:t>
      </w:r>
      <w:r w:rsidR="001853D2" w:rsidRPr="00BE2CF0">
        <w:rPr>
          <w:rFonts w:ascii="Arial" w:eastAsia="Times New Roman" w:hAnsi="Arial" w:cs="Arial"/>
          <w:sz w:val="24"/>
          <w:szCs w:val="24"/>
          <w:lang w:eastAsia="it-IT"/>
        </w:rPr>
        <w:t>T.</w:t>
      </w:r>
      <w:r w:rsidR="008D0999" w:rsidRPr="00BE2CF0">
        <w:rPr>
          <w:rFonts w:ascii="Arial" w:eastAsia="Times New Roman" w:hAnsi="Arial" w:cs="Arial"/>
          <w:sz w:val="24"/>
          <w:szCs w:val="24"/>
          <w:lang w:eastAsia="it-IT"/>
        </w:rPr>
        <w:t xml:space="preserve"> Gilbert </w:t>
      </w:r>
      <w:r w:rsidR="007B473D" w:rsidRPr="00BE2CF0">
        <w:rPr>
          <w:rFonts w:ascii="Arial" w:eastAsia="Times New Roman" w:hAnsi="Arial" w:cs="Arial"/>
          <w:sz w:val="24"/>
          <w:szCs w:val="24"/>
          <w:lang w:eastAsia="it-IT"/>
        </w:rPr>
        <w:t xml:space="preserve">et al </w:t>
      </w:r>
      <w:r w:rsidR="001853D2" w:rsidRPr="00BE2CF0">
        <w:rPr>
          <w:rFonts w:ascii="Arial" w:eastAsia="Times New Roman" w:hAnsi="Arial" w:cs="Arial"/>
          <w:sz w:val="24"/>
          <w:szCs w:val="24"/>
          <w:lang w:eastAsia="it-IT"/>
        </w:rPr>
        <w:t xml:space="preserve"> utilizza</w:t>
      </w:r>
      <w:r w:rsidR="007B473D" w:rsidRPr="00BE2CF0">
        <w:rPr>
          <w:rFonts w:ascii="Arial" w:eastAsia="Times New Roman" w:hAnsi="Arial" w:cs="Arial"/>
          <w:sz w:val="24"/>
          <w:szCs w:val="24"/>
          <w:lang w:eastAsia="it-IT"/>
        </w:rPr>
        <w:t xml:space="preserve">no </w:t>
      </w:r>
      <w:r w:rsidR="001853D2" w:rsidRPr="00BE2CF0">
        <w:rPr>
          <w:rFonts w:ascii="Arial" w:eastAsia="Times New Roman" w:hAnsi="Arial" w:cs="Arial"/>
          <w:sz w:val="24"/>
          <w:szCs w:val="24"/>
          <w:lang w:eastAsia="it-IT"/>
        </w:rPr>
        <w:t xml:space="preserve"> i dati della c</w:t>
      </w:r>
      <w:r w:rsidR="007B473D" w:rsidRPr="00BE2CF0">
        <w:rPr>
          <w:rFonts w:ascii="Arial" w:eastAsia="Times New Roman" w:hAnsi="Arial" w:cs="Arial"/>
          <w:sz w:val="24"/>
          <w:szCs w:val="24"/>
          <w:lang w:eastAsia="it-IT"/>
        </w:rPr>
        <w:t>a</w:t>
      </w:r>
      <w:r w:rsidR="001853D2" w:rsidRPr="00BE2CF0">
        <w:rPr>
          <w:rFonts w:ascii="Arial" w:eastAsia="Times New Roman" w:hAnsi="Arial" w:cs="Arial"/>
          <w:sz w:val="24"/>
          <w:szCs w:val="24"/>
          <w:lang w:eastAsia="it-IT"/>
        </w:rPr>
        <w:t xml:space="preserve">rtella informatizzata per sviluppare uno strumento di </w:t>
      </w:r>
      <w:proofErr w:type="spellStart"/>
      <w:r w:rsidR="001853D2" w:rsidRPr="00BE2CF0">
        <w:rPr>
          <w:rFonts w:ascii="Arial" w:eastAsia="Times New Roman" w:hAnsi="Arial" w:cs="Arial"/>
          <w:sz w:val="24"/>
          <w:szCs w:val="24"/>
          <w:lang w:eastAsia="it-IT"/>
        </w:rPr>
        <w:t>risk</w:t>
      </w:r>
      <w:proofErr w:type="spellEnd"/>
      <w:r w:rsidR="001853D2" w:rsidRPr="00BE2CF0">
        <w:rPr>
          <w:rFonts w:ascii="Arial" w:eastAsia="Times New Roman" w:hAnsi="Arial" w:cs="Arial"/>
          <w:sz w:val="24"/>
          <w:szCs w:val="24"/>
          <w:lang w:eastAsia="it-IT"/>
        </w:rPr>
        <w:t xml:space="preserve"> </w:t>
      </w:r>
      <w:proofErr w:type="spellStart"/>
      <w:r w:rsidR="001853D2" w:rsidRPr="00BE2CF0">
        <w:rPr>
          <w:rFonts w:ascii="Arial" w:eastAsia="Times New Roman" w:hAnsi="Arial" w:cs="Arial"/>
          <w:sz w:val="24"/>
          <w:szCs w:val="24"/>
          <w:lang w:eastAsia="it-IT"/>
        </w:rPr>
        <w:t>stratification</w:t>
      </w:r>
      <w:proofErr w:type="spellEnd"/>
      <w:r w:rsidR="001853D2" w:rsidRPr="00BE2CF0">
        <w:rPr>
          <w:rFonts w:ascii="Arial" w:eastAsia="Times New Roman" w:hAnsi="Arial" w:cs="Arial"/>
          <w:sz w:val="24"/>
          <w:szCs w:val="24"/>
          <w:lang w:eastAsia="it-IT"/>
        </w:rPr>
        <w:t xml:space="preserve"> in ospedale, </w:t>
      </w:r>
      <w:r w:rsidR="00A5620E" w:rsidRPr="00BE2CF0">
        <w:rPr>
          <w:rFonts w:ascii="Arial" w:eastAsia="Times New Roman" w:hAnsi="Arial" w:cs="Arial"/>
          <w:sz w:val="24"/>
          <w:szCs w:val="24"/>
          <w:lang w:eastAsia="it-IT"/>
        </w:rPr>
        <w:t xml:space="preserve">utilizzando I codici dell’ ICD-10-CM in una popolazione ampia degli ospedali inglesi </w:t>
      </w:r>
      <w:r w:rsidR="00523F94" w:rsidRPr="00BE2CF0">
        <w:rPr>
          <w:rFonts w:ascii="Arial" w:eastAsia="Times New Roman" w:hAnsi="Arial" w:cs="Arial"/>
          <w:sz w:val="24"/>
          <w:szCs w:val="24"/>
          <w:lang w:eastAsia="it-IT"/>
        </w:rPr>
        <w:t>(n=1 013</w:t>
      </w:r>
      <w:r w:rsidRPr="00BE2CF0">
        <w:rPr>
          <w:rFonts w:ascii="Arial" w:eastAsia="Times New Roman" w:hAnsi="Arial" w:cs="Arial"/>
          <w:sz w:val="24"/>
          <w:szCs w:val="24"/>
          <w:lang w:eastAsia="it-IT"/>
        </w:rPr>
        <w:t xml:space="preserve"> 590); questa casistica è  </w:t>
      </w:r>
      <w:proofErr w:type="spellStart"/>
      <w:r w:rsidRPr="00BE2CF0">
        <w:rPr>
          <w:rFonts w:ascii="Arial" w:eastAsia="Times New Roman" w:hAnsi="Arial" w:cs="Arial"/>
          <w:sz w:val="24"/>
          <w:szCs w:val="24"/>
          <w:lang w:eastAsia="it-IT"/>
        </w:rPr>
        <w:t>di</w:t>
      </w:r>
      <w:r w:rsidR="001853D2" w:rsidRPr="00BE2CF0">
        <w:rPr>
          <w:rFonts w:ascii="Arial" w:eastAsia="Times New Roman" w:hAnsi="Arial" w:cs="Arial"/>
          <w:sz w:val="24"/>
          <w:szCs w:val="24"/>
          <w:lang w:eastAsia="it-IT"/>
        </w:rPr>
        <w:t>cotomizzata</w:t>
      </w:r>
      <w:proofErr w:type="spellEnd"/>
      <w:r w:rsidR="001853D2" w:rsidRPr="00BE2CF0">
        <w:rPr>
          <w:rFonts w:ascii="Arial" w:eastAsia="Times New Roman" w:hAnsi="Arial" w:cs="Arial"/>
          <w:sz w:val="24"/>
          <w:szCs w:val="24"/>
          <w:lang w:eastAsia="it-IT"/>
        </w:rPr>
        <w:t xml:space="preserve"> in </w:t>
      </w:r>
      <w:proofErr w:type="spellStart"/>
      <w:r w:rsidR="001853D2" w:rsidRPr="00BE2CF0">
        <w:rPr>
          <w:rFonts w:ascii="Arial" w:eastAsia="Times New Roman" w:hAnsi="Arial" w:cs="Arial"/>
          <w:sz w:val="24"/>
          <w:szCs w:val="24"/>
          <w:lang w:eastAsia="it-IT"/>
        </w:rPr>
        <w:t>frail</w:t>
      </w:r>
      <w:proofErr w:type="spellEnd"/>
      <w:r w:rsidR="001853D2" w:rsidRPr="00BE2CF0">
        <w:rPr>
          <w:rFonts w:ascii="Arial" w:eastAsia="Times New Roman" w:hAnsi="Arial" w:cs="Arial"/>
          <w:sz w:val="24"/>
          <w:szCs w:val="24"/>
          <w:lang w:eastAsia="it-IT"/>
        </w:rPr>
        <w:t xml:space="preserve">  e non-</w:t>
      </w:r>
      <w:proofErr w:type="spellStart"/>
      <w:r w:rsidR="001853D2" w:rsidRPr="00BE2CF0">
        <w:rPr>
          <w:rFonts w:ascii="Arial" w:eastAsia="Times New Roman" w:hAnsi="Arial" w:cs="Arial"/>
          <w:sz w:val="24"/>
          <w:szCs w:val="24"/>
          <w:lang w:eastAsia="it-IT"/>
        </w:rPr>
        <w:t>frail</w:t>
      </w:r>
      <w:proofErr w:type="spellEnd"/>
      <w:r w:rsidR="001853D2" w:rsidRPr="00BE2CF0">
        <w:rPr>
          <w:rFonts w:ascii="Arial" w:eastAsia="Times New Roman" w:hAnsi="Arial" w:cs="Arial"/>
          <w:sz w:val="24"/>
          <w:szCs w:val="24"/>
          <w:lang w:eastAsia="it-IT"/>
        </w:rPr>
        <w:t xml:space="preserve">; quella fragile fu definita poi a rischio basso, intermedio e elevato. La casistica dei pazienti fragili corrispondeva a un quinto dell’ intera casistica  e al 50% delle giornate di ospedalizzazione. </w:t>
      </w:r>
      <w:r w:rsidR="001853D2" w:rsidRPr="00BE2CF0">
        <w:rPr>
          <w:rFonts w:ascii="Arial" w:eastAsia="Times New Roman" w:hAnsi="Arial" w:cs="Arial"/>
          <w:sz w:val="24"/>
          <w:szCs w:val="24"/>
          <w:lang w:val="en-US" w:eastAsia="it-IT"/>
        </w:rPr>
        <w:t>S</w:t>
      </w:r>
      <w:r w:rsidR="00DB32AC" w:rsidRPr="00BE2CF0">
        <w:rPr>
          <w:rFonts w:ascii="Arial" w:eastAsia="Times New Roman" w:hAnsi="Arial" w:cs="Arial"/>
          <w:sz w:val="24"/>
          <w:szCs w:val="24"/>
          <w:lang w:val="en-US" w:eastAsia="it-IT"/>
        </w:rPr>
        <w:t xml:space="preserve">i </w:t>
      </w:r>
      <w:proofErr w:type="spellStart"/>
      <w:r w:rsidR="00DB32AC" w:rsidRPr="00BE2CF0">
        <w:rPr>
          <w:rFonts w:ascii="Arial" w:eastAsia="Times New Roman" w:hAnsi="Arial" w:cs="Arial"/>
          <w:sz w:val="24"/>
          <w:szCs w:val="24"/>
          <w:lang w:val="en-US" w:eastAsia="it-IT"/>
        </w:rPr>
        <w:t>vuole</w:t>
      </w:r>
      <w:proofErr w:type="spellEnd"/>
      <w:r w:rsidR="00DB32AC" w:rsidRPr="00BE2CF0">
        <w:rPr>
          <w:rFonts w:ascii="Arial" w:eastAsia="Times New Roman" w:hAnsi="Arial" w:cs="Arial"/>
          <w:sz w:val="24"/>
          <w:szCs w:val="24"/>
          <w:lang w:val="en-US" w:eastAsia="it-IT"/>
        </w:rPr>
        <w:t xml:space="preserve"> </w:t>
      </w:r>
      <w:proofErr w:type="spellStart"/>
      <w:r w:rsidR="001853D2" w:rsidRPr="00BE2CF0">
        <w:rPr>
          <w:rFonts w:ascii="Arial" w:eastAsia="Times New Roman" w:hAnsi="Arial" w:cs="Arial"/>
          <w:sz w:val="24"/>
          <w:szCs w:val="24"/>
          <w:lang w:val="en-US" w:eastAsia="it-IT"/>
        </w:rPr>
        <w:t>così</w:t>
      </w:r>
      <w:proofErr w:type="spellEnd"/>
      <w:r w:rsidR="001853D2" w:rsidRPr="00BE2CF0">
        <w:rPr>
          <w:rFonts w:ascii="Arial" w:eastAsia="Times New Roman" w:hAnsi="Arial" w:cs="Arial"/>
          <w:sz w:val="24"/>
          <w:szCs w:val="24"/>
          <w:lang w:val="en-US" w:eastAsia="it-IT"/>
        </w:rPr>
        <w:t xml:space="preserve"> </w:t>
      </w:r>
      <w:proofErr w:type="spellStart"/>
      <w:r w:rsidR="00DB32AC" w:rsidRPr="00BE2CF0">
        <w:rPr>
          <w:rFonts w:ascii="Arial" w:eastAsia="Times New Roman" w:hAnsi="Arial" w:cs="Arial"/>
          <w:sz w:val="24"/>
          <w:szCs w:val="24"/>
          <w:lang w:val="en-US" w:eastAsia="it-IT"/>
        </w:rPr>
        <w:t>identificare</w:t>
      </w:r>
      <w:proofErr w:type="spellEnd"/>
      <w:r w:rsidR="00DB32AC" w:rsidRPr="00BE2CF0">
        <w:rPr>
          <w:rFonts w:ascii="Arial" w:eastAsia="Times New Roman" w:hAnsi="Arial" w:cs="Arial"/>
          <w:sz w:val="24"/>
          <w:szCs w:val="24"/>
          <w:lang w:val="en-US" w:eastAsia="it-IT"/>
        </w:rPr>
        <w:t xml:space="preserve"> </w:t>
      </w:r>
      <w:r w:rsidR="00523F94" w:rsidRPr="00BE2CF0">
        <w:rPr>
          <w:rFonts w:ascii="Arial" w:eastAsia="Times New Roman" w:hAnsi="Arial" w:cs="Arial"/>
          <w:sz w:val="24"/>
          <w:szCs w:val="24"/>
          <w:lang w:val="en-US" w:eastAsia="it-IT"/>
        </w:rPr>
        <w:t>“a group of patients who are at greater risk of </w:t>
      </w:r>
      <w:hyperlink r:id="rId7" w:tooltip="Learn more about Adverse Outcome" w:history="1">
        <w:r w:rsidR="00523F94" w:rsidRPr="00BE2CF0">
          <w:rPr>
            <w:rFonts w:ascii="Arial" w:eastAsia="Times New Roman" w:hAnsi="Arial" w:cs="Arial"/>
            <w:sz w:val="24"/>
            <w:szCs w:val="24"/>
            <w:lang w:val="en-US" w:eastAsia="it-IT"/>
          </w:rPr>
          <w:t>adverse outcomes</w:t>
        </w:r>
      </w:hyperlink>
      <w:r w:rsidR="00523F94" w:rsidRPr="00BE2CF0">
        <w:rPr>
          <w:rFonts w:ascii="Arial" w:eastAsia="Times New Roman" w:hAnsi="Arial" w:cs="Arial"/>
          <w:sz w:val="24"/>
          <w:szCs w:val="24"/>
          <w:lang w:val="en-US" w:eastAsia="it-IT"/>
        </w:rPr>
        <w:t> and for whom a frailty-attuned approach might be useful”.</w:t>
      </w:r>
      <w:r w:rsidR="001853D2" w:rsidRPr="00BE2CF0">
        <w:rPr>
          <w:rFonts w:ascii="Arial" w:eastAsia="Times New Roman" w:hAnsi="Arial" w:cs="Arial"/>
          <w:sz w:val="24"/>
          <w:szCs w:val="24"/>
          <w:lang w:val="en-US" w:eastAsia="it-IT"/>
        </w:rPr>
        <w:t xml:space="preserve"> </w:t>
      </w:r>
      <w:r w:rsidRPr="00BE2CF0">
        <w:rPr>
          <w:rFonts w:ascii="Arial" w:eastAsia="Times New Roman" w:hAnsi="Arial" w:cs="Arial"/>
          <w:sz w:val="24"/>
          <w:szCs w:val="24"/>
          <w:lang w:eastAsia="it-IT"/>
        </w:rPr>
        <w:t xml:space="preserve">Il </w:t>
      </w:r>
      <w:r w:rsidR="005E6B08" w:rsidRPr="00BE2CF0">
        <w:rPr>
          <w:rFonts w:ascii="Arial" w:eastAsia="Times New Roman" w:hAnsi="Arial" w:cs="Arial"/>
          <w:sz w:val="24"/>
          <w:szCs w:val="24"/>
          <w:lang w:eastAsia="it-IT"/>
        </w:rPr>
        <w:t xml:space="preserve"> prevalente modello ospedaliero basato sulla diagnosi </w:t>
      </w:r>
      <w:r w:rsidRPr="00BE2CF0">
        <w:rPr>
          <w:rFonts w:ascii="Arial" w:eastAsia="Times New Roman" w:hAnsi="Arial" w:cs="Arial"/>
          <w:sz w:val="24"/>
          <w:szCs w:val="24"/>
          <w:lang w:eastAsia="it-IT"/>
        </w:rPr>
        <w:t>non serve</w:t>
      </w:r>
      <w:r w:rsidR="005E6B08" w:rsidRPr="00BE2CF0">
        <w:rPr>
          <w:rFonts w:ascii="Arial" w:eastAsia="Times New Roman" w:hAnsi="Arial" w:cs="Arial"/>
          <w:sz w:val="24"/>
          <w:szCs w:val="24"/>
          <w:lang w:eastAsia="it-IT"/>
        </w:rPr>
        <w:t xml:space="preserve"> tanto al malato</w:t>
      </w:r>
      <w:r w:rsidRPr="00BE2CF0">
        <w:rPr>
          <w:rFonts w:ascii="Arial" w:eastAsia="Times New Roman" w:hAnsi="Arial" w:cs="Arial"/>
          <w:sz w:val="24"/>
          <w:szCs w:val="24"/>
          <w:lang w:eastAsia="it-IT"/>
        </w:rPr>
        <w:t>; piuttosto si dovrebbe</w:t>
      </w:r>
      <w:r w:rsidR="005E6B08" w:rsidRPr="00BE2CF0">
        <w:rPr>
          <w:rFonts w:ascii="Arial" w:eastAsia="Times New Roman" w:hAnsi="Arial" w:cs="Arial"/>
          <w:sz w:val="24"/>
          <w:szCs w:val="24"/>
          <w:lang w:eastAsia="it-IT"/>
        </w:rPr>
        <w:t xml:space="preserve"> realizzare un modello capace di ridurre i rischi del paziente fragile durante il  ricovero osp</w:t>
      </w:r>
      <w:r w:rsidRPr="00BE2CF0">
        <w:rPr>
          <w:rFonts w:ascii="Arial" w:eastAsia="Times New Roman" w:hAnsi="Arial" w:cs="Arial"/>
          <w:sz w:val="24"/>
          <w:szCs w:val="24"/>
          <w:lang w:eastAsia="it-IT"/>
        </w:rPr>
        <w:t>edaliero</w:t>
      </w:r>
      <w:r w:rsidR="005E6B08" w:rsidRPr="00BE2CF0">
        <w:rPr>
          <w:rFonts w:ascii="Arial" w:eastAsia="Times New Roman" w:hAnsi="Arial" w:cs="Arial"/>
          <w:sz w:val="24"/>
          <w:szCs w:val="24"/>
          <w:lang w:eastAsia="it-IT"/>
        </w:rPr>
        <w:t>. I problemi rilevanti anche da un punto di</w:t>
      </w:r>
      <w:r w:rsidRPr="00BE2CF0">
        <w:rPr>
          <w:rFonts w:ascii="Arial" w:eastAsia="Times New Roman" w:hAnsi="Arial" w:cs="Arial"/>
          <w:sz w:val="24"/>
          <w:szCs w:val="24"/>
          <w:lang w:eastAsia="it-IT"/>
        </w:rPr>
        <w:t xml:space="preserve"> vista didattico-formativo non sono ben illustrati  dal</w:t>
      </w:r>
      <w:r w:rsidR="005E6B08" w:rsidRPr="00BE2CF0">
        <w:rPr>
          <w:rFonts w:ascii="Arial" w:eastAsia="Times New Roman" w:hAnsi="Arial" w:cs="Arial"/>
          <w:sz w:val="24"/>
          <w:szCs w:val="24"/>
          <w:lang w:eastAsia="it-IT"/>
        </w:rPr>
        <w:t xml:space="preserve">l’ anziano con broncopolmonite non complicata che guarisce con gli antibiotici </w:t>
      </w:r>
      <w:r w:rsidRPr="00BE2CF0">
        <w:rPr>
          <w:rFonts w:ascii="Arial" w:eastAsia="Times New Roman" w:hAnsi="Arial" w:cs="Arial"/>
          <w:sz w:val="24"/>
          <w:szCs w:val="24"/>
          <w:lang w:eastAsia="it-IT"/>
        </w:rPr>
        <w:t xml:space="preserve">e che presenta un </w:t>
      </w:r>
      <w:r w:rsidR="005E6B08" w:rsidRPr="00BE2CF0">
        <w:rPr>
          <w:rFonts w:ascii="Arial" w:eastAsia="Times New Roman" w:hAnsi="Arial" w:cs="Arial"/>
          <w:sz w:val="24"/>
          <w:szCs w:val="24"/>
          <w:lang w:eastAsia="it-IT"/>
        </w:rPr>
        <w:t>decorso radiologico tradizionale: questa casistica forse non era da ospedalizzare</w:t>
      </w:r>
      <w:r w:rsidRPr="00BE2CF0">
        <w:rPr>
          <w:rFonts w:ascii="Arial" w:eastAsia="Times New Roman" w:hAnsi="Arial" w:cs="Arial"/>
          <w:sz w:val="24"/>
          <w:szCs w:val="24"/>
          <w:lang w:eastAsia="it-IT"/>
        </w:rPr>
        <w:t xml:space="preserve">;  geriatrici e da ospedalizzazione sono invece </w:t>
      </w:r>
      <w:r w:rsidR="005E6B08" w:rsidRPr="00BE2CF0">
        <w:rPr>
          <w:rFonts w:ascii="Arial" w:eastAsia="Times New Roman" w:hAnsi="Arial" w:cs="Arial"/>
          <w:sz w:val="24"/>
          <w:szCs w:val="24"/>
          <w:lang w:eastAsia="it-IT"/>
        </w:rPr>
        <w:t xml:space="preserve"> quei casi</w:t>
      </w:r>
      <w:r w:rsidRPr="00BE2CF0">
        <w:rPr>
          <w:rFonts w:ascii="Arial" w:eastAsia="Times New Roman" w:hAnsi="Arial" w:cs="Arial"/>
          <w:sz w:val="24"/>
          <w:szCs w:val="24"/>
          <w:lang w:eastAsia="it-IT"/>
        </w:rPr>
        <w:t xml:space="preserve"> di polmonite </w:t>
      </w:r>
      <w:r w:rsidR="005E6B08" w:rsidRPr="00BE2CF0">
        <w:rPr>
          <w:rFonts w:ascii="Arial" w:eastAsia="Times New Roman" w:hAnsi="Arial" w:cs="Arial"/>
          <w:sz w:val="24"/>
          <w:szCs w:val="24"/>
          <w:lang w:eastAsia="it-IT"/>
        </w:rPr>
        <w:t xml:space="preserve"> che presentano de</w:t>
      </w:r>
      <w:r w:rsidRPr="00BE2CF0">
        <w:rPr>
          <w:rFonts w:ascii="Arial" w:eastAsia="Times New Roman" w:hAnsi="Arial" w:cs="Arial"/>
          <w:sz w:val="24"/>
          <w:szCs w:val="24"/>
          <w:lang w:eastAsia="it-IT"/>
        </w:rPr>
        <w:t>lirium e immobilità, abbastanza frequenti</w:t>
      </w:r>
      <w:r w:rsidR="00F84619" w:rsidRPr="00BE2CF0">
        <w:rPr>
          <w:rFonts w:ascii="Arial" w:eastAsia="Times New Roman" w:hAnsi="Arial" w:cs="Arial"/>
          <w:sz w:val="24"/>
          <w:szCs w:val="24"/>
          <w:lang w:eastAsia="it-IT"/>
        </w:rPr>
        <w:t xml:space="preserve">. Questa casistica  ha un protratto ricovero ospedaliero </w:t>
      </w:r>
      <w:r w:rsidR="005E6B08" w:rsidRPr="00BE2CF0">
        <w:rPr>
          <w:rFonts w:ascii="Arial" w:eastAsia="Times New Roman" w:hAnsi="Arial" w:cs="Arial"/>
          <w:sz w:val="24"/>
          <w:szCs w:val="24"/>
          <w:lang w:eastAsia="it-IT"/>
        </w:rPr>
        <w:t xml:space="preserve"> e pone problemi di dimissione</w:t>
      </w:r>
      <w:r w:rsidR="00992928" w:rsidRPr="00BE2CF0">
        <w:rPr>
          <w:rFonts w:ascii="Arial" w:eastAsia="Times New Roman" w:hAnsi="Arial" w:cs="Arial"/>
          <w:sz w:val="24"/>
          <w:szCs w:val="24"/>
          <w:lang w:eastAsia="it-IT"/>
        </w:rPr>
        <w:t xml:space="preserve"> e pertanto di gestione del caso clinico specifico; questa casistica  dovrà avere</w:t>
      </w:r>
      <w:r w:rsidR="00F84619" w:rsidRPr="00BE2CF0">
        <w:rPr>
          <w:rFonts w:ascii="Arial" w:eastAsia="Times New Roman" w:hAnsi="Arial" w:cs="Arial"/>
          <w:sz w:val="24"/>
          <w:szCs w:val="24"/>
          <w:lang w:eastAsia="it-IT"/>
        </w:rPr>
        <w:t xml:space="preserve"> una terapia che ha </w:t>
      </w:r>
      <w:r w:rsidR="00992928" w:rsidRPr="00BE2CF0">
        <w:rPr>
          <w:rFonts w:ascii="Arial" w:eastAsia="Times New Roman" w:hAnsi="Arial" w:cs="Arial"/>
          <w:sz w:val="24"/>
          <w:szCs w:val="24"/>
          <w:lang w:eastAsia="it-IT"/>
        </w:rPr>
        <w:t xml:space="preserve"> come target </w:t>
      </w:r>
      <w:r w:rsidR="00F84619" w:rsidRPr="00BE2CF0">
        <w:rPr>
          <w:rFonts w:ascii="Arial" w:eastAsia="Times New Roman" w:hAnsi="Arial" w:cs="Arial"/>
          <w:sz w:val="24"/>
          <w:szCs w:val="24"/>
          <w:lang w:eastAsia="it-IT"/>
        </w:rPr>
        <w:t xml:space="preserve">i </w:t>
      </w:r>
      <w:proofErr w:type="spellStart"/>
      <w:r w:rsidR="00992928" w:rsidRPr="00BE2CF0">
        <w:rPr>
          <w:rFonts w:ascii="Arial" w:eastAsia="Times New Roman" w:hAnsi="Arial" w:cs="Arial"/>
          <w:sz w:val="24"/>
          <w:szCs w:val="24"/>
          <w:lang w:eastAsia="it-IT"/>
        </w:rPr>
        <w:lastRenderedPageBreak/>
        <w:t>pa</w:t>
      </w:r>
      <w:r w:rsidR="00F84619" w:rsidRPr="00BE2CF0">
        <w:rPr>
          <w:rFonts w:ascii="Arial" w:eastAsia="Times New Roman" w:hAnsi="Arial" w:cs="Arial"/>
          <w:sz w:val="24"/>
          <w:szCs w:val="24"/>
          <w:lang w:eastAsia="it-IT"/>
        </w:rPr>
        <w:t>tient-centred</w:t>
      </w:r>
      <w:proofErr w:type="spellEnd"/>
      <w:r w:rsidR="00F84619" w:rsidRPr="00BE2CF0">
        <w:rPr>
          <w:rFonts w:ascii="Arial" w:eastAsia="Times New Roman" w:hAnsi="Arial" w:cs="Arial"/>
          <w:sz w:val="24"/>
          <w:szCs w:val="24"/>
          <w:lang w:eastAsia="it-IT"/>
        </w:rPr>
        <w:t xml:space="preserve"> </w:t>
      </w:r>
      <w:proofErr w:type="spellStart"/>
      <w:r w:rsidR="00F84619" w:rsidRPr="00BE2CF0">
        <w:rPr>
          <w:rFonts w:ascii="Arial" w:eastAsia="Times New Roman" w:hAnsi="Arial" w:cs="Arial"/>
          <w:sz w:val="24"/>
          <w:szCs w:val="24"/>
          <w:lang w:eastAsia="it-IT"/>
        </w:rPr>
        <w:t>outcomes</w:t>
      </w:r>
      <w:proofErr w:type="spellEnd"/>
      <w:r w:rsidR="00F84619" w:rsidRPr="00BE2CF0">
        <w:rPr>
          <w:rFonts w:ascii="Arial" w:eastAsia="Times New Roman" w:hAnsi="Arial" w:cs="Arial"/>
          <w:sz w:val="24"/>
          <w:szCs w:val="24"/>
          <w:lang w:eastAsia="it-IT"/>
        </w:rPr>
        <w:t xml:space="preserve">  cioè </w:t>
      </w:r>
      <w:r w:rsidR="00992928" w:rsidRPr="00BE2CF0">
        <w:rPr>
          <w:rFonts w:ascii="Arial" w:eastAsia="Times New Roman" w:hAnsi="Arial" w:cs="Arial"/>
          <w:sz w:val="24"/>
          <w:szCs w:val="24"/>
          <w:lang w:eastAsia="it-IT"/>
        </w:rPr>
        <w:t xml:space="preserve"> la miglior </w:t>
      </w:r>
      <w:proofErr w:type="spellStart"/>
      <w:r w:rsidR="00992928" w:rsidRPr="00BE2CF0">
        <w:rPr>
          <w:rFonts w:ascii="Arial" w:eastAsia="Times New Roman" w:hAnsi="Arial" w:cs="Arial"/>
          <w:sz w:val="24"/>
          <w:szCs w:val="24"/>
          <w:lang w:eastAsia="it-IT"/>
        </w:rPr>
        <w:t>mobilità,funzionalità</w:t>
      </w:r>
      <w:proofErr w:type="spellEnd"/>
      <w:r w:rsidR="00992928" w:rsidRPr="00BE2CF0">
        <w:rPr>
          <w:rFonts w:ascii="Arial" w:eastAsia="Times New Roman" w:hAnsi="Arial" w:cs="Arial"/>
          <w:sz w:val="24"/>
          <w:szCs w:val="24"/>
          <w:lang w:eastAsia="it-IT"/>
        </w:rPr>
        <w:t xml:space="preserve">, </w:t>
      </w:r>
      <w:proofErr w:type="spellStart"/>
      <w:r w:rsidR="00992928" w:rsidRPr="00BE2CF0">
        <w:rPr>
          <w:rFonts w:ascii="Arial" w:eastAsia="Times New Roman" w:hAnsi="Arial" w:cs="Arial"/>
          <w:sz w:val="24"/>
          <w:szCs w:val="24"/>
          <w:lang w:eastAsia="it-IT"/>
        </w:rPr>
        <w:t>cognitività,continenza</w:t>
      </w:r>
      <w:proofErr w:type="spellEnd"/>
      <w:r w:rsidR="00992928" w:rsidRPr="00BE2CF0">
        <w:rPr>
          <w:rFonts w:ascii="Arial" w:eastAsia="Times New Roman" w:hAnsi="Arial" w:cs="Arial"/>
          <w:sz w:val="24"/>
          <w:szCs w:val="24"/>
          <w:lang w:eastAsia="it-IT"/>
        </w:rPr>
        <w:t>, il minor dolore e buon coinvolgimento sociale.</w:t>
      </w:r>
      <w:r w:rsidR="00523F94" w:rsidRPr="00BE2CF0">
        <w:rPr>
          <w:rFonts w:ascii="Arial" w:eastAsia="Times New Roman" w:hAnsi="Arial" w:cs="Arial"/>
          <w:sz w:val="24"/>
          <w:szCs w:val="24"/>
          <w:lang w:eastAsia="it-IT"/>
        </w:rPr>
        <w:t> </w:t>
      </w:r>
      <w:r w:rsidR="00A5620E" w:rsidRPr="00BE2CF0">
        <w:rPr>
          <w:rFonts w:ascii="Arial" w:eastAsia="Times New Roman" w:hAnsi="Arial" w:cs="Arial"/>
          <w:sz w:val="24"/>
          <w:szCs w:val="24"/>
          <w:lang w:eastAsia="it-IT"/>
        </w:rPr>
        <w:t xml:space="preserve"> </w:t>
      </w:r>
    </w:p>
    <w:p w:rsidR="000F4E1D" w:rsidRPr="002A1D70" w:rsidRDefault="000F4E1D" w:rsidP="002A1D70">
      <w:pPr>
        <w:spacing w:after="0" w:line="240" w:lineRule="auto"/>
        <w:jc w:val="both"/>
        <w:rPr>
          <w:rFonts w:ascii="Arial" w:eastAsia="Times New Roman" w:hAnsi="Arial" w:cs="Arial"/>
          <w:color w:val="000000" w:themeColor="text1"/>
          <w:sz w:val="24"/>
          <w:szCs w:val="24"/>
          <w:lang w:eastAsia="it-IT"/>
        </w:rPr>
      </w:pPr>
      <w:r w:rsidRPr="007A516C">
        <w:rPr>
          <w:rFonts w:ascii="Arial" w:eastAsia="Times New Roman" w:hAnsi="Arial" w:cs="Arial"/>
          <w:sz w:val="24"/>
          <w:szCs w:val="24"/>
          <w:lang w:eastAsia="it-IT"/>
        </w:rPr>
        <w:t xml:space="preserve">L’ anziano fragile all’ ospedale manifesta disturbi molto comuni che </w:t>
      </w:r>
      <w:r w:rsidR="00A5620E" w:rsidRPr="007A516C">
        <w:rPr>
          <w:rFonts w:ascii="Arial" w:eastAsia="Times New Roman" w:hAnsi="Arial" w:cs="Arial"/>
          <w:sz w:val="24"/>
          <w:szCs w:val="24"/>
          <w:lang w:eastAsia="it-IT"/>
        </w:rPr>
        <w:t xml:space="preserve">non devono essere sottovalutati, sono </w:t>
      </w:r>
      <w:r w:rsidRPr="007A516C">
        <w:rPr>
          <w:rFonts w:ascii="Arial" w:eastAsia="Times New Roman" w:hAnsi="Arial" w:cs="Arial"/>
          <w:sz w:val="24"/>
          <w:szCs w:val="24"/>
          <w:lang w:eastAsia="it-IT"/>
        </w:rPr>
        <w:t xml:space="preserve">riassunti nella tabella da Age </w:t>
      </w:r>
      <w:proofErr w:type="spellStart"/>
      <w:r w:rsidRPr="007A516C">
        <w:rPr>
          <w:rFonts w:ascii="Arial" w:eastAsia="Times New Roman" w:hAnsi="Arial" w:cs="Arial"/>
          <w:sz w:val="24"/>
          <w:szCs w:val="24"/>
          <w:lang w:eastAsia="it-IT"/>
        </w:rPr>
        <w:t>Ageing</w:t>
      </w:r>
      <w:proofErr w:type="spellEnd"/>
      <w:r w:rsidRPr="007A516C">
        <w:rPr>
          <w:rFonts w:ascii="Arial" w:eastAsia="Times New Roman" w:hAnsi="Arial" w:cs="Arial"/>
          <w:sz w:val="24"/>
          <w:szCs w:val="24"/>
          <w:lang w:eastAsia="it-IT"/>
        </w:rPr>
        <w:t xml:space="preserve"> 2017; 46: 920 </w:t>
      </w:r>
      <w:r w:rsidR="00992928" w:rsidRPr="007A516C">
        <w:rPr>
          <w:rFonts w:ascii="Arial" w:eastAsia="Times New Roman" w:hAnsi="Arial" w:cs="Arial"/>
          <w:sz w:val="24"/>
          <w:szCs w:val="24"/>
          <w:lang w:eastAsia="it-IT"/>
        </w:rPr>
        <w:t xml:space="preserve">. Le malattie acute nell’ anziano fragile si manifestano con segni e sintomi </w:t>
      </w:r>
      <w:r w:rsidR="00BE2CF0" w:rsidRPr="007A516C">
        <w:rPr>
          <w:rFonts w:ascii="Arial" w:eastAsia="Times New Roman" w:hAnsi="Arial" w:cs="Arial"/>
          <w:sz w:val="24"/>
          <w:szCs w:val="24"/>
          <w:lang w:eastAsia="it-IT"/>
        </w:rPr>
        <w:t xml:space="preserve">a volte atipici e </w:t>
      </w:r>
      <w:r w:rsidR="00992928" w:rsidRPr="007A516C">
        <w:rPr>
          <w:rFonts w:ascii="Arial" w:eastAsia="Times New Roman" w:hAnsi="Arial" w:cs="Arial"/>
          <w:sz w:val="24"/>
          <w:szCs w:val="24"/>
          <w:lang w:eastAsia="it-IT"/>
        </w:rPr>
        <w:t xml:space="preserve">non specifici come per esempio la compromissione dell’ equilibrio e della mobilità e quindi del trasferimento: </w:t>
      </w:r>
      <w:r w:rsidR="00992928" w:rsidRPr="002A1D70">
        <w:rPr>
          <w:rFonts w:ascii="Arial" w:eastAsia="Times New Roman" w:hAnsi="Arial" w:cs="Arial"/>
          <w:color w:val="000000" w:themeColor="text1"/>
          <w:sz w:val="24"/>
          <w:szCs w:val="24"/>
          <w:lang w:eastAsia="it-IT"/>
        </w:rPr>
        <w:t>la valutazione della mobilità nel tempo è pertanto fondamentale anche per prevedere il recupero del paziente fragile; il recupero della mo</w:t>
      </w:r>
      <w:r w:rsidR="00306752" w:rsidRPr="002A1D70">
        <w:rPr>
          <w:rFonts w:ascii="Arial" w:eastAsia="Times New Roman" w:hAnsi="Arial" w:cs="Arial"/>
          <w:color w:val="000000" w:themeColor="text1"/>
          <w:sz w:val="24"/>
          <w:szCs w:val="24"/>
          <w:lang w:eastAsia="it-IT"/>
        </w:rPr>
        <w:t xml:space="preserve">tilità è anche un segno prognostico. Pertanto l’ anziano fragile rappresenta un reale problema nel </w:t>
      </w:r>
      <w:proofErr w:type="spellStart"/>
      <w:r w:rsidR="00306752" w:rsidRPr="002A1D70">
        <w:rPr>
          <w:rFonts w:ascii="Arial" w:eastAsia="Times New Roman" w:hAnsi="Arial" w:cs="Arial"/>
          <w:color w:val="000000" w:themeColor="text1"/>
          <w:sz w:val="24"/>
          <w:szCs w:val="24"/>
          <w:lang w:eastAsia="it-IT"/>
        </w:rPr>
        <w:t>setting</w:t>
      </w:r>
      <w:proofErr w:type="spellEnd"/>
      <w:r w:rsidR="00306752" w:rsidRPr="002A1D70">
        <w:rPr>
          <w:rFonts w:ascii="Arial" w:eastAsia="Times New Roman" w:hAnsi="Arial" w:cs="Arial"/>
          <w:color w:val="000000" w:themeColor="text1"/>
          <w:sz w:val="24"/>
          <w:szCs w:val="24"/>
          <w:lang w:eastAsia="it-IT"/>
        </w:rPr>
        <w:t xml:space="preserve"> ospedaliero; l’ approccio terapeutico attualmente utilizzato non è probabilmente idoneo ad ottenere i migliori  risultati da ogni punto di vita, anche economico. </w:t>
      </w:r>
    </w:p>
    <w:p w:rsidR="008849B1" w:rsidRPr="002A1D70" w:rsidRDefault="008849B1" w:rsidP="002A1D70">
      <w:pPr>
        <w:spacing w:after="0" w:line="240" w:lineRule="auto"/>
        <w:jc w:val="both"/>
        <w:rPr>
          <w:rFonts w:ascii="Arial" w:eastAsia="Times New Roman" w:hAnsi="Arial" w:cs="Arial"/>
          <w:color w:val="000000" w:themeColor="text1"/>
          <w:sz w:val="24"/>
          <w:szCs w:val="24"/>
          <w:lang w:eastAsia="it-IT"/>
        </w:rPr>
      </w:pPr>
      <w:r w:rsidRPr="002A1D70">
        <w:rPr>
          <w:rFonts w:ascii="Arial" w:eastAsia="Times New Roman" w:hAnsi="Arial" w:cs="Arial"/>
          <w:color w:val="000000" w:themeColor="text1"/>
          <w:sz w:val="24"/>
          <w:szCs w:val="24"/>
          <w:lang w:eastAsia="it-IT"/>
        </w:rPr>
        <w:t>Le cr</w:t>
      </w:r>
      <w:r w:rsidR="00BE2CF0" w:rsidRPr="002A1D70">
        <w:rPr>
          <w:rFonts w:ascii="Arial" w:eastAsia="Times New Roman" w:hAnsi="Arial" w:cs="Arial"/>
          <w:color w:val="000000" w:themeColor="text1"/>
          <w:sz w:val="24"/>
          <w:szCs w:val="24"/>
          <w:lang w:eastAsia="it-IT"/>
        </w:rPr>
        <w:t>itiche al HRTF non sono mancate</w:t>
      </w:r>
      <w:r w:rsidRPr="002A1D70">
        <w:rPr>
          <w:rFonts w:ascii="Arial" w:eastAsia="Times New Roman" w:hAnsi="Arial" w:cs="Arial"/>
          <w:color w:val="000000" w:themeColor="text1"/>
          <w:sz w:val="24"/>
          <w:szCs w:val="24"/>
          <w:lang w:eastAsia="it-IT"/>
        </w:rPr>
        <w:t>; forse non discrimina adeguatamente la casistica &gt; 75 anni e i 109 codici diagnostici complicano le operazioni. Si dubita che  molti anzia</w:t>
      </w:r>
      <w:r w:rsidR="00BE2CF0" w:rsidRPr="002A1D70">
        <w:rPr>
          <w:rFonts w:ascii="Arial" w:eastAsia="Times New Roman" w:hAnsi="Arial" w:cs="Arial"/>
          <w:color w:val="000000" w:themeColor="text1"/>
          <w:sz w:val="24"/>
          <w:szCs w:val="24"/>
          <w:lang w:eastAsia="it-IT"/>
        </w:rPr>
        <w:t>ni con scompenso cardiaco, canc</w:t>
      </w:r>
      <w:r w:rsidRPr="002A1D70">
        <w:rPr>
          <w:rFonts w:ascii="Arial" w:eastAsia="Times New Roman" w:hAnsi="Arial" w:cs="Arial"/>
          <w:color w:val="000000" w:themeColor="text1"/>
          <w:sz w:val="24"/>
          <w:szCs w:val="24"/>
          <w:lang w:eastAsia="it-IT"/>
        </w:rPr>
        <w:t xml:space="preserve">ro, </w:t>
      </w:r>
      <w:proofErr w:type="spellStart"/>
      <w:r w:rsidRPr="002A1D70">
        <w:rPr>
          <w:rFonts w:ascii="Arial" w:eastAsia="Times New Roman" w:hAnsi="Arial" w:cs="Arial"/>
          <w:color w:val="000000" w:themeColor="text1"/>
          <w:sz w:val="24"/>
          <w:szCs w:val="24"/>
          <w:lang w:eastAsia="it-IT"/>
        </w:rPr>
        <w:t>broncopneumopatia</w:t>
      </w:r>
      <w:proofErr w:type="spellEnd"/>
      <w:r w:rsidRPr="002A1D70">
        <w:rPr>
          <w:rFonts w:ascii="Arial" w:eastAsia="Times New Roman" w:hAnsi="Arial" w:cs="Arial"/>
          <w:color w:val="000000" w:themeColor="text1"/>
          <w:sz w:val="24"/>
          <w:szCs w:val="24"/>
          <w:lang w:eastAsia="it-IT"/>
        </w:rPr>
        <w:t xml:space="preserve"> cronica presentano fragilità ma</w:t>
      </w:r>
      <w:r w:rsidR="00067F68" w:rsidRPr="002A1D70">
        <w:rPr>
          <w:rFonts w:ascii="Arial" w:eastAsia="Times New Roman" w:hAnsi="Arial" w:cs="Arial"/>
          <w:color w:val="000000" w:themeColor="text1"/>
          <w:sz w:val="24"/>
          <w:szCs w:val="24"/>
          <w:lang w:eastAsia="it-IT"/>
        </w:rPr>
        <w:t xml:space="preserve"> forse sono stati inclusi nel gruppo non-</w:t>
      </w:r>
      <w:proofErr w:type="spellStart"/>
      <w:r w:rsidR="00067F68" w:rsidRPr="002A1D70">
        <w:rPr>
          <w:rFonts w:ascii="Arial" w:eastAsia="Times New Roman" w:hAnsi="Arial" w:cs="Arial"/>
          <w:color w:val="000000" w:themeColor="text1"/>
          <w:sz w:val="24"/>
          <w:szCs w:val="24"/>
          <w:lang w:eastAsia="it-IT"/>
        </w:rPr>
        <w:t>frail</w:t>
      </w:r>
      <w:proofErr w:type="spellEnd"/>
      <w:r w:rsidR="00067F68" w:rsidRPr="002A1D70">
        <w:rPr>
          <w:rFonts w:ascii="Arial" w:eastAsia="Times New Roman" w:hAnsi="Arial" w:cs="Arial"/>
          <w:color w:val="000000" w:themeColor="text1"/>
          <w:sz w:val="24"/>
          <w:szCs w:val="24"/>
          <w:lang w:eastAsia="it-IT"/>
        </w:rPr>
        <w:t xml:space="preserve"> (cluster problemi di cuore oppure cancro con malattia polmonare)</w:t>
      </w:r>
    </w:p>
    <w:p w:rsidR="00345F97" w:rsidRPr="002A1D70" w:rsidRDefault="00067F68" w:rsidP="002A1D70">
      <w:pPr>
        <w:jc w:val="both"/>
        <w:rPr>
          <w:rFonts w:ascii="Arial" w:eastAsia="Times New Roman" w:hAnsi="Arial" w:cs="Arial"/>
          <w:color w:val="000000" w:themeColor="text1"/>
          <w:sz w:val="24"/>
          <w:szCs w:val="24"/>
          <w:lang w:eastAsia="it-IT"/>
        </w:rPr>
      </w:pPr>
      <w:r w:rsidRPr="002A1D70">
        <w:rPr>
          <w:rFonts w:ascii="Arial" w:eastAsia="Times New Roman" w:hAnsi="Arial" w:cs="Arial"/>
          <w:color w:val="000000" w:themeColor="text1"/>
          <w:sz w:val="24"/>
          <w:szCs w:val="24"/>
          <w:lang w:eastAsia="it-IT"/>
        </w:rPr>
        <w:t>Il cluster FRAIL</w:t>
      </w:r>
      <w:r w:rsidR="00BE2CF0" w:rsidRPr="002A1D70">
        <w:rPr>
          <w:rFonts w:ascii="Arial" w:eastAsia="Times New Roman" w:hAnsi="Arial" w:cs="Arial"/>
          <w:color w:val="000000" w:themeColor="text1"/>
          <w:sz w:val="24"/>
          <w:szCs w:val="24"/>
          <w:lang w:eastAsia="it-IT"/>
        </w:rPr>
        <w:t xml:space="preserve"> della ricerca di Gilbert et al  potrebbe </w:t>
      </w:r>
      <w:r w:rsidRPr="002A1D70">
        <w:rPr>
          <w:rFonts w:ascii="Arial" w:eastAsia="Times New Roman" w:hAnsi="Arial" w:cs="Arial"/>
          <w:color w:val="000000" w:themeColor="text1"/>
          <w:sz w:val="24"/>
          <w:szCs w:val="24"/>
          <w:lang w:eastAsia="it-IT"/>
        </w:rPr>
        <w:t xml:space="preserve"> includere casi di fragilità da </w:t>
      </w:r>
      <w:proofErr w:type="spellStart"/>
      <w:r w:rsidRPr="002A1D70">
        <w:rPr>
          <w:rFonts w:ascii="Arial" w:eastAsia="Times New Roman" w:hAnsi="Arial" w:cs="Arial"/>
          <w:color w:val="000000" w:themeColor="text1"/>
          <w:sz w:val="24"/>
          <w:szCs w:val="24"/>
          <w:lang w:eastAsia="it-IT"/>
        </w:rPr>
        <w:t>co</w:t>
      </w:r>
      <w:r w:rsidR="00BE2CF0" w:rsidRPr="002A1D70">
        <w:rPr>
          <w:rFonts w:ascii="Arial" w:eastAsia="Times New Roman" w:hAnsi="Arial" w:cs="Arial"/>
          <w:color w:val="000000" w:themeColor="text1"/>
          <w:sz w:val="24"/>
          <w:szCs w:val="24"/>
          <w:lang w:eastAsia="it-IT"/>
        </w:rPr>
        <w:t>morbilità</w:t>
      </w:r>
      <w:proofErr w:type="spellEnd"/>
      <w:r w:rsidR="00BE2CF0" w:rsidRPr="002A1D70">
        <w:rPr>
          <w:rFonts w:ascii="Arial" w:eastAsia="Times New Roman" w:hAnsi="Arial" w:cs="Arial"/>
          <w:color w:val="000000" w:themeColor="text1"/>
          <w:sz w:val="24"/>
          <w:szCs w:val="24"/>
          <w:lang w:eastAsia="it-IT"/>
        </w:rPr>
        <w:t xml:space="preserve"> come demenza; </w:t>
      </w:r>
      <w:r w:rsidRPr="002A1D70">
        <w:rPr>
          <w:rFonts w:ascii="Arial" w:eastAsia="Times New Roman" w:hAnsi="Arial" w:cs="Arial"/>
          <w:color w:val="000000" w:themeColor="text1"/>
          <w:sz w:val="24"/>
          <w:szCs w:val="24"/>
          <w:lang w:eastAsia="it-IT"/>
        </w:rPr>
        <w:t xml:space="preserve"> l’ esperienza di altri suggerisce che i codici </w:t>
      </w:r>
      <w:r w:rsidR="00BE2CF0" w:rsidRPr="002A1D70">
        <w:rPr>
          <w:rFonts w:ascii="Arial" w:eastAsia="Times New Roman" w:hAnsi="Arial" w:cs="Arial"/>
          <w:color w:val="000000" w:themeColor="text1"/>
          <w:sz w:val="24"/>
          <w:szCs w:val="24"/>
          <w:lang w:eastAsia="it-IT"/>
        </w:rPr>
        <w:t xml:space="preserve">HRTF </w:t>
      </w:r>
      <w:r w:rsidRPr="002A1D70">
        <w:rPr>
          <w:rFonts w:ascii="Arial" w:eastAsia="Times New Roman" w:hAnsi="Arial" w:cs="Arial"/>
          <w:color w:val="000000" w:themeColor="text1"/>
          <w:sz w:val="24"/>
          <w:szCs w:val="24"/>
          <w:lang w:eastAsia="it-IT"/>
        </w:rPr>
        <w:t>che rappresentano la  casistica di anziani fragili (che ha anche un ridotto rimborso rispetto ai codici delle più note acuzie) potrebbero essere meno ben documentati al momento del ricovero quando prevalgono le attenzioni per le diagnosi organo specifiche.  Probabilmente le diagnosi correlabili alla fragilità potrebbero essere meglio</w:t>
      </w:r>
      <w:r w:rsidR="00BE2CF0" w:rsidRPr="002A1D70">
        <w:rPr>
          <w:rFonts w:ascii="Arial" w:eastAsia="Times New Roman" w:hAnsi="Arial" w:cs="Arial"/>
          <w:color w:val="000000" w:themeColor="text1"/>
          <w:sz w:val="24"/>
          <w:szCs w:val="24"/>
          <w:lang w:eastAsia="it-IT"/>
        </w:rPr>
        <w:t xml:space="preserve"> catturate nei </w:t>
      </w:r>
      <w:proofErr w:type="spellStart"/>
      <w:r w:rsidR="00345F97" w:rsidRPr="002A1D70">
        <w:rPr>
          <w:rFonts w:ascii="Arial" w:eastAsia="Times New Roman" w:hAnsi="Arial" w:cs="Arial"/>
          <w:color w:val="000000" w:themeColor="text1"/>
          <w:sz w:val="24"/>
          <w:szCs w:val="24"/>
          <w:lang w:eastAsia="it-IT"/>
        </w:rPr>
        <w:t>setting</w:t>
      </w:r>
      <w:proofErr w:type="spellEnd"/>
      <w:r w:rsidR="00345F97" w:rsidRPr="002A1D70">
        <w:rPr>
          <w:rFonts w:ascii="Arial" w:eastAsia="Times New Roman" w:hAnsi="Arial" w:cs="Arial"/>
          <w:color w:val="000000" w:themeColor="text1"/>
          <w:sz w:val="24"/>
          <w:szCs w:val="24"/>
          <w:lang w:eastAsia="it-IT"/>
        </w:rPr>
        <w:t xml:space="preserve"> ambulatoriali; ma anche l’ ospedale dovrà entrare nel problema della fragilità degli anziani che sempre più occupano I letti di degenza: le cure offerte devono essere di qualità e competenti.</w:t>
      </w:r>
    </w:p>
    <w:p w:rsidR="008774D0" w:rsidRPr="00DE3D6E" w:rsidRDefault="00992928" w:rsidP="002A1D70">
      <w:pPr>
        <w:jc w:val="both"/>
        <w:rPr>
          <w:rFonts w:ascii="Arial" w:hAnsi="Arial" w:cs="Arial"/>
          <w:sz w:val="24"/>
          <w:szCs w:val="24"/>
        </w:rPr>
      </w:pPr>
      <w:r w:rsidRPr="002A1D70">
        <w:rPr>
          <w:rFonts w:ascii="Arial" w:hAnsi="Arial" w:cs="Arial"/>
          <w:color w:val="000000" w:themeColor="text1"/>
          <w:sz w:val="24"/>
          <w:szCs w:val="24"/>
        </w:rPr>
        <w:t xml:space="preserve"> </w:t>
      </w:r>
      <w:r w:rsidR="00565AE4" w:rsidRPr="002A1D70">
        <w:rPr>
          <w:rFonts w:ascii="Arial" w:hAnsi="Arial" w:cs="Arial"/>
          <w:color w:val="000000" w:themeColor="text1"/>
          <w:sz w:val="24"/>
          <w:szCs w:val="24"/>
        </w:rPr>
        <w:t xml:space="preserve">Nel </w:t>
      </w:r>
      <w:proofErr w:type="spellStart"/>
      <w:r w:rsidR="00565AE4" w:rsidRPr="002A1D70">
        <w:rPr>
          <w:rFonts w:ascii="Arial" w:hAnsi="Arial" w:cs="Arial"/>
          <w:color w:val="000000" w:themeColor="text1"/>
          <w:sz w:val="24"/>
          <w:szCs w:val="24"/>
        </w:rPr>
        <w:t>setting</w:t>
      </w:r>
      <w:proofErr w:type="spellEnd"/>
      <w:r w:rsidR="00565AE4" w:rsidRPr="002A1D70">
        <w:rPr>
          <w:rFonts w:ascii="Arial" w:hAnsi="Arial" w:cs="Arial"/>
          <w:color w:val="000000" w:themeColor="text1"/>
          <w:sz w:val="24"/>
          <w:szCs w:val="24"/>
        </w:rPr>
        <w:t xml:space="preserve"> ospedaliero si dovrebbe  adeguare il Triage ai pazienti anzi</w:t>
      </w:r>
      <w:r w:rsidR="00DE3D6E" w:rsidRPr="002A1D70">
        <w:rPr>
          <w:rFonts w:ascii="Arial" w:hAnsi="Arial" w:cs="Arial"/>
          <w:color w:val="000000" w:themeColor="text1"/>
          <w:sz w:val="24"/>
          <w:szCs w:val="24"/>
        </w:rPr>
        <w:t xml:space="preserve">ani spesso fragili che </w:t>
      </w:r>
      <w:r w:rsidR="00565AE4" w:rsidRPr="002A1D70">
        <w:rPr>
          <w:rFonts w:ascii="Arial" w:hAnsi="Arial" w:cs="Arial"/>
          <w:color w:val="000000" w:themeColor="text1"/>
          <w:sz w:val="24"/>
          <w:szCs w:val="24"/>
        </w:rPr>
        <w:t xml:space="preserve">accedono al pronto soccorso. Si menziona il  </w:t>
      </w:r>
      <w:proofErr w:type="spellStart"/>
      <w:r w:rsidR="008774D0" w:rsidRPr="002A1D70">
        <w:rPr>
          <w:rFonts w:ascii="Arial" w:hAnsi="Arial" w:cs="Arial"/>
          <w:b/>
          <w:bCs/>
          <w:i/>
          <w:color w:val="000000" w:themeColor="text1"/>
          <w:sz w:val="24"/>
          <w:szCs w:val="24"/>
        </w:rPr>
        <w:t>Modified</w:t>
      </w:r>
      <w:proofErr w:type="spellEnd"/>
      <w:r w:rsidR="008774D0" w:rsidRPr="002A1D70">
        <w:rPr>
          <w:rFonts w:ascii="Arial" w:hAnsi="Arial" w:cs="Arial"/>
          <w:b/>
          <w:bCs/>
          <w:i/>
          <w:color w:val="000000" w:themeColor="text1"/>
          <w:sz w:val="24"/>
          <w:szCs w:val="24"/>
        </w:rPr>
        <w:t xml:space="preserve"> </w:t>
      </w:r>
      <w:proofErr w:type="spellStart"/>
      <w:r w:rsidR="008774D0" w:rsidRPr="002A1D70">
        <w:rPr>
          <w:rFonts w:ascii="Arial" w:hAnsi="Arial" w:cs="Arial"/>
          <w:b/>
          <w:bCs/>
          <w:i/>
          <w:color w:val="000000" w:themeColor="text1"/>
          <w:sz w:val="24"/>
          <w:szCs w:val="24"/>
        </w:rPr>
        <w:t>early</w:t>
      </w:r>
      <w:proofErr w:type="spellEnd"/>
      <w:r w:rsidR="008774D0" w:rsidRPr="002A1D70">
        <w:rPr>
          <w:rFonts w:ascii="Arial" w:hAnsi="Arial" w:cs="Arial"/>
          <w:b/>
          <w:bCs/>
          <w:i/>
          <w:color w:val="000000" w:themeColor="text1"/>
          <w:sz w:val="24"/>
          <w:szCs w:val="24"/>
        </w:rPr>
        <w:t xml:space="preserve"> </w:t>
      </w:r>
      <w:proofErr w:type="spellStart"/>
      <w:r w:rsidR="008774D0" w:rsidRPr="002A1D70">
        <w:rPr>
          <w:rFonts w:ascii="Arial" w:hAnsi="Arial" w:cs="Arial"/>
          <w:b/>
          <w:bCs/>
          <w:i/>
          <w:color w:val="000000" w:themeColor="text1"/>
          <w:sz w:val="24"/>
          <w:szCs w:val="24"/>
        </w:rPr>
        <w:t>warning</w:t>
      </w:r>
      <w:proofErr w:type="spellEnd"/>
      <w:r w:rsidR="008774D0" w:rsidRPr="002A1D70">
        <w:rPr>
          <w:rFonts w:ascii="Arial" w:hAnsi="Arial" w:cs="Arial"/>
          <w:b/>
          <w:bCs/>
          <w:i/>
          <w:color w:val="000000" w:themeColor="text1"/>
          <w:sz w:val="24"/>
          <w:szCs w:val="24"/>
        </w:rPr>
        <w:t xml:space="preserve"> score</w:t>
      </w:r>
      <w:r w:rsidR="008774D0" w:rsidRPr="002A1D70">
        <w:rPr>
          <w:rFonts w:ascii="Arial" w:hAnsi="Arial" w:cs="Arial"/>
          <w:color w:val="000000" w:themeColor="text1"/>
          <w:sz w:val="24"/>
          <w:szCs w:val="24"/>
        </w:rPr>
        <w:t xml:space="preserve"> (MEWS) </w:t>
      </w:r>
      <w:r w:rsidR="00565AE4" w:rsidRPr="002A1D70">
        <w:rPr>
          <w:rFonts w:ascii="Arial" w:hAnsi="Arial" w:cs="Arial"/>
          <w:color w:val="000000" w:themeColor="text1"/>
          <w:sz w:val="24"/>
          <w:szCs w:val="24"/>
        </w:rPr>
        <w:t xml:space="preserve">che </w:t>
      </w:r>
      <w:r w:rsidR="008774D0" w:rsidRPr="002A1D70">
        <w:rPr>
          <w:rFonts w:ascii="Arial" w:hAnsi="Arial" w:cs="Arial"/>
          <w:color w:val="000000" w:themeColor="text1"/>
          <w:sz w:val="24"/>
          <w:szCs w:val="24"/>
        </w:rPr>
        <w:t xml:space="preserve">è un semplice strumento per valutare la gravità clinica e il rischio di mortalità di un paziente, anche anziano,  che presenta un  evento acuto di varia natura; prevede la </w:t>
      </w:r>
      <w:r w:rsidR="008774D0" w:rsidRPr="00DE3D6E">
        <w:rPr>
          <w:rFonts w:ascii="Arial" w:hAnsi="Arial" w:cs="Arial"/>
          <w:sz w:val="24"/>
          <w:szCs w:val="24"/>
        </w:rPr>
        <w:t>semplice  rilevazione dei segni vitali fondamentali (pressione arteriosa, temperatura corporea, frequenza cardiaca e respiratoria) e dello stato di coscienza valutato con la risposta a  stimoli con  AVPU (</w:t>
      </w:r>
      <w:proofErr w:type="spellStart"/>
      <w:r w:rsidR="008774D0" w:rsidRPr="00DE3D6E">
        <w:rPr>
          <w:rFonts w:ascii="Arial" w:hAnsi="Arial" w:cs="Arial"/>
          <w:i/>
          <w:sz w:val="24"/>
          <w:szCs w:val="24"/>
        </w:rPr>
        <w:t>alert</w:t>
      </w:r>
      <w:proofErr w:type="spellEnd"/>
      <w:r w:rsidR="008774D0" w:rsidRPr="00DE3D6E">
        <w:rPr>
          <w:rFonts w:ascii="Arial" w:hAnsi="Arial" w:cs="Arial"/>
          <w:i/>
          <w:sz w:val="24"/>
          <w:szCs w:val="24"/>
        </w:rPr>
        <w:t xml:space="preserve">, voice, </w:t>
      </w:r>
      <w:proofErr w:type="spellStart"/>
      <w:r w:rsidR="008774D0" w:rsidRPr="00DE3D6E">
        <w:rPr>
          <w:rFonts w:ascii="Arial" w:hAnsi="Arial" w:cs="Arial"/>
          <w:i/>
          <w:sz w:val="24"/>
          <w:szCs w:val="24"/>
        </w:rPr>
        <w:t>pain</w:t>
      </w:r>
      <w:proofErr w:type="spellEnd"/>
      <w:r w:rsidR="008774D0" w:rsidRPr="00DE3D6E">
        <w:rPr>
          <w:rFonts w:ascii="Arial" w:hAnsi="Arial" w:cs="Arial"/>
          <w:i/>
          <w:sz w:val="24"/>
          <w:szCs w:val="24"/>
        </w:rPr>
        <w:t xml:space="preserve">, </w:t>
      </w:r>
      <w:proofErr w:type="spellStart"/>
      <w:r w:rsidR="008774D0" w:rsidRPr="00DE3D6E">
        <w:rPr>
          <w:rFonts w:ascii="Arial" w:hAnsi="Arial" w:cs="Arial"/>
          <w:i/>
          <w:sz w:val="24"/>
          <w:szCs w:val="24"/>
        </w:rPr>
        <w:t>unresponsive</w:t>
      </w:r>
      <w:proofErr w:type="spellEnd"/>
      <w:r w:rsidR="008774D0" w:rsidRPr="00DE3D6E">
        <w:rPr>
          <w:rFonts w:ascii="Arial" w:hAnsi="Arial" w:cs="Arial"/>
          <w:sz w:val="24"/>
          <w:szCs w:val="24"/>
        </w:rPr>
        <w:t xml:space="preserve">) . </w:t>
      </w:r>
    </w:p>
    <w:p w:rsidR="008774D0" w:rsidRDefault="008774D0" w:rsidP="008774D0">
      <w:pPr>
        <w:pStyle w:val="NormaleWeb"/>
        <w:tabs>
          <w:tab w:val="left" w:pos="3240"/>
        </w:tabs>
        <w:jc w:val="both"/>
        <w:rPr>
          <w:rFonts w:ascii="Arial" w:hAnsi="Arial" w:cs="Arial"/>
        </w:rPr>
      </w:pPr>
    </w:p>
    <w:p w:rsidR="008774D0" w:rsidRDefault="008774D0" w:rsidP="008774D0">
      <w:pPr>
        <w:pStyle w:val="NormaleWeb"/>
        <w:tabs>
          <w:tab w:val="left" w:pos="3240"/>
        </w:tabs>
        <w:jc w:val="both"/>
        <w:rPr>
          <w:rFonts w:ascii="Arial" w:hAnsi="Arial" w:cs="Arial"/>
        </w:rPr>
      </w:pPr>
      <w:r>
        <w:rPr>
          <w:rFonts w:ascii="Arial" w:hAnsi="Arial" w:cs="Arial"/>
        </w:rPr>
        <w:t>La tabella aiuta a creare lo score del MEWS.</w:t>
      </w:r>
    </w:p>
    <w:tbl>
      <w:tblPr>
        <w:tblW w:w="9638" w:type="dxa"/>
        <w:tblBorders>
          <w:insideH w:val="nil"/>
          <w:insideV w:val="nil"/>
        </w:tblBorders>
        <w:tblLook w:val="04A0" w:firstRow="1" w:lastRow="0" w:firstColumn="1" w:lastColumn="0" w:noHBand="0" w:noVBand="1"/>
      </w:tblPr>
      <w:tblGrid>
        <w:gridCol w:w="2821"/>
        <w:gridCol w:w="573"/>
        <w:gridCol w:w="837"/>
        <w:gridCol w:w="998"/>
        <w:gridCol w:w="1324"/>
        <w:gridCol w:w="1163"/>
        <w:gridCol w:w="1162"/>
        <w:gridCol w:w="760"/>
      </w:tblGrid>
      <w:tr w:rsidR="008774D0" w:rsidTr="008774D0">
        <w:tc>
          <w:tcPr>
            <w:tcW w:w="2819"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jc w:val="center"/>
              <w:rPr>
                <w:b/>
                <w:bCs/>
                <w:i/>
                <w:color w:val="0000FF"/>
              </w:rPr>
            </w:pPr>
            <w:r>
              <w:rPr>
                <w:b/>
                <w:bCs/>
                <w:i/>
                <w:color w:val="0000FF"/>
              </w:rPr>
              <w:t>Punteggio</w:t>
            </w:r>
          </w:p>
        </w:tc>
        <w:tc>
          <w:tcPr>
            <w:tcW w:w="573" w:type="dxa"/>
            <w:tcBorders>
              <w:top w:val="nil"/>
              <w:left w:val="nil"/>
              <w:bottom w:val="nil"/>
              <w:right w:val="nil"/>
            </w:tcBorders>
            <w:tcMar>
              <w:top w:w="15" w:type="dxa"/>
              <w:left w:w="15" w:type="dxa"/>
              <w:bottom w:w="15" w:type="dxa"/>
              <w:right w:w="15" w:type="dxa"/>
            </w:tcMar>
            <w:vAlign w:val="center"/>
            <w:hideMark/>
          </w:tcPr>
          <w:p w:rsidR="008774D0" w:rsidRDefault="004D7986" w:rsidP="005A1896">
            <w:pPr>
              <w:suppressAutoHyphens/>
              <w:rPr>
                <w:b/>
                <w:bCs/>
                <w:color w:val="0000FF"/>
              </w:rPr>
            </w:pPr>
            <w:r>
              <w:rPr>
                <w:b/>
                <w:bCs/>
                <w:color w:val="0000FF"/>
              </w:rPr>
              <w:t xml:space="preserve">  </w:t>
            </w:r>
            <w:r w:rsidR="008774D0">
              <w:rPr>
                <w:b/>
                <w:bCs/>
                <w:color w:val="0000FF"/>
              </w:rPr>
              <w:t>3</w:t>
            </w:r>
          </w:p>
        </w:tc>
        <w:tc>
          <w:tcPr>
            <w:tcW w:w="837" w:type="dxa"/>
            <w:tcBorders>
              <w:top w:val="nil"/>
              <w:left w:val="nil"/>
              <w:bottom w:val="nil"/>
              <w:right w:val="nil"/>
            </w:tcBorders>
            <w:tcMar>
              <w:top w:w="15" w:type="dxa"/>
              <w:left w:w="15" w:type="dxa"/>
              <w:bottom w:w="15" w:type="dxa"/>
              <w:right w:w="15" w:type="dxa"/>
            </w:tcMar>
            <w:vAlign w:val="center"/>
            <w:hideMark/>
          </w:tcPr>
          <w:p w:rsidR="008774D0" w:rsidRDefault="004D7986" w:rsidP="005A1896">
            <w:pPr>
              <w:suppressAutoHyphens/>
              <w:rPr>
                <w:b/>
                <w:bCs/>
                <w:color w:val="0000FF"/>
              </w:rPr>
            </w:pPr>
            <w:r>
              <w:rPr>
                <w:b/>
                <w:bCs/>
                <w:color w:val="0000FF"/>
              </w:rPr>
              <w:t xml:space="preserve">   </w:t>
            </w:r>
            <w:r w:rsidR="008774D0">
              <w:rPr>
                <w:b/>
                <w:bCs/>
                <w:color w:val="0000FF"/>
              </w:rPr>
              <w:t>2</w:t>
            </w:r>
          </w:p>
        </w:tc>
        <w:tc>
          <w:tcPr>
            <w:tcW w:w="998" w:type="dxa"/>
            <w:tcBorders>
              <w:top w:val="nil"/>
              <w:left w:val="nil"/>
              <w:bottom w:val="nil"/>
              <w:right w:val="nil"/>
            </w:tcBorders>
            <w:tcMar>
              <w:top w:w="15" w:type="dxa"/>
              <w:left w:w="15" w:type="dxa"/>
              <w:bottom w:w="15" w:type="dxa"/>
              <w:right w:w="15" w:type="dxa"/>
            </w:tcMar>
            <w:vAlign w:val="center"/>
            <w:hideMark/>
          </w:tcPr>
          <w:p w:rsidR="008774D0" w:rsidRDefault="004D7986" w:rsidP="005A1896">
            <w:pPr>
              <w:suppressAutoHyphens/>
              <w:rPr>
                <w:b/>
                <w:bCs/>
                <w:color w:val="0000FF"/>
              </w:rPr>
            </w:pPr>
            <w:r>
              <w:rPr>
                <w:b/>
                <w:bCs/>
                <w:color w:val="0000FF"/>
              </w:rPr>
              <w:t xml:space="preserve">    </w:t>
            </w:r>
            <w:r w:rsidR="008774D0">
              <w:rPr>
                <w:b/>
                <w:bCs/>
                <w:color w:val="0000FF"/>
              </w:rPr>
              <w:t xml:space="preserve">1 </w:t>
            </w:r>
          </w:p>
        </w:tc>
        <w:tc>
          <w:tcPr>
            <w:tcW w:w="1324"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jc w:val="center"/>
              <w:rPr>
                <w:b/>
                <w:bCs/>
                <w:color w:val="0000FF"/>
              </w:rPr>
            </w:pPr>
            <w:r>
              <w:rPr>
                <w:b/>
                <w:bCs/>
                <w:color w:val="0000FF"/>
              </w:rPr>
              <w:t>0</w:t>
            </w:r>
          </w:p>
        </w:tc>
        <w:tc>
          <w:tcPr>
            <w:tcW w:w="116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jc w:val="center"/>
              <w:rPr>
                <w:b/>
                <w:bCs/>
                <w:color w:val="0000FF"/>
              </w:rPr>
            </w:pPr>
            <w:r>
              <w:rPr>
                <w:b/>
                <w:bCs/>
                <w:color w:val="0000FF"/>
              </w:rPr>
              <w:t>1</w:t>
            </w:r>
          </w:p>
        </w:tc>
        <w:tc>
          <w:tcPr>
            <w:tcW w:w="1162"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jc w:val="center"/>
              <w:rPr>
                <w:b/>
                <w:bCs/>
                <w:color w:val="0000FF"/>
              </w:rPr>
            </w:pPr>
            <w:r>
              <w:rPr>
                <w:b/>
                <w:bCs/>
                <w:color w:val="0000FF"/>
              </w:rPr>
              <w:t>2</w:t>
            </w:r>
          </w:p>
        </w:tc>
        <w:tc>
          <w:tcPr>
            <w:tcW w:w="760"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jc w:val="center"/>
              <w:rPr>
                <w:b/>
                <w:bCs/>
                <w:color w:val="0000FF"/>
              </w:rPr>
            </w:pPr>
            <w:r>
              <w:rPr>
                <w:b/>
                <w:bCs/>
                <w:color w:val="0000FF"/>
              </w:rPr>
              <w:t>3</w:t>
            </w:r>
          </w:p>
        </w:tc>
      </w:tr>
      <w:tr w:rsidR="008774D0" w:rsidTr="008774D0">
        <w:tc>
          <w:tcPr>
            <w:tcW w:w="2819"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Pressione sistolica</w:t>
            </w:r>
          </w:p>
        </w:tc>
        <w:tc>
          <w:tcPr>
            <w:tcW w:w="57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&lt;70</w:t>
            </w:r>
          </w:p>
        </w:tc>
        <w:tc>
          <w:tcPr>
            <w:tcW w:w="837"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71-80</w:t>
            </w:r>
          </w:p>
        </w:tc>
        <w:tc>
          <w:tcPr>
            <w:tcW w:w="998"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81-100</w:t>
            </w:r>
          </w:p>
        </w:tc>
        <w:tc>
          <w:tcPr>
            <w:tcW w:w="1324"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101-199</w:t>
            </w:r>
          </w:p>
        </w:tc>
        <w:tc>
          <w:tcPr>
            <w:tcW w:w="116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c>
          <w:tcPr>
            <w:tcW w:w="1162"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&gt;200</w:t>
            </w:r>
          </w:p>
        </w:tc>
        <w:tc>
          <w:tcPr>
            <w:tcW w:w="760"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r>
      <w:tr w:rsidR="008774D0" w:rsidTr="008774D0">
        <w:tc>
          <w:tcPr>
            <w:tcW w:w="2819"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proofErr w:type="spellStart"/>
            <w:r>
              <w:t>Freq</w:t>
            </w:r>
            <w:proofErr w:type="spellEnd"/>
            <w:r>
              <w:t>. cardiaca (BPM)</w:t>
            </w:r>
          </w:p>
        </w:tc>
        <w:tc>
          <w:tcPr>
            <w:tcW w:w="57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c>
          <w:tcPr>
            <w:tcW w:w="837"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&lt;40</w:t>
            </w:r>
          </w:p>
        </w:tc>
        <w:tc>
          <w:tcPr>
            <w:tcW w:w="998"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41-50</w:t>
            </w:r>
          </w:p>
        </w:tc>
        <w:tc>
          <w:tcPr>
            <w:tcW w:w="1324"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51-100</w:t>
            </w:r>
          </w:p>
        </w:tc>
        <w:tc>
          <w:tcPr>
            <w:tcW w:w="116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101-110</w:t>
            </w:r>
          </w:p>
        </w:tc>
        <w:tc>
          <w:tcPr>
            <w:tcW w:w="1162"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111-129</w:t>
            </w:r>
          </w:p>
        </w:tc>
        <w:tc>
          <w:tcPr>
            <w:tcW w:w="760"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&gt;130</w:t>
            </w:r>
          </w:p>
        </w:tc>
      </w:tr>
      <w:tr w:rsidR="008774D0" w:rsidTr="008774D0">
        <w:tc>
          <w:tcPr>
            <w:tcW w:w="2819"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proofErr w:type="spellStart"/>
            <w:r>
              <w:t>Freq</w:t>
            </w:r>
            <w:proofErr w:type="spellEnd"/>
            <w:r>
              <w:t>. respiro (RPM)</w:t>
            </w:r>
          </w:p>
        </w:tc>
        <w:tc>
          <w:tcPr>
            <w:tcW w:w="57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c>
          <w:tcPr>
            <w:tcW w:w="837"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&lt;9</w:t>
            </w:r>
          </w:p>
        </w:tc>
        <w:tc>
          <w:tcPr>
            <w:tcW w:w="998"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c>
          <w:tcPr>
            <w:tcW w:w="1324"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9-14</w:t>
            </w:r>
          </w:p>
        </w:tc>
        <w:tc>
          <w:tcPr>
            <w:tcW w:w="116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15-20</w:t>
            </w:r>
          </w:p>
        </w:tc>
        <w:tc>
          <w:tcPr>
            <w:tcW w:w="1162"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21-29</w:t>
            </w:r>
          </w:p>
        </w:tc>
        <w:tc>
          <w:tcPr>
            <w:tcW w:w="760"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&gt;30</w:t>
            </w:r>
          </w:p>
        </w:tc>
      </w:tr>
      <w:tr w:rsidR="008774D0" w:rsidTr="008774D0">
        <w:tc>
          <w:tcPr>
            <w:tcW w:w="2819"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Temperatura (°C)</w:t>
            </w:r>
          </w:p>
        </w:tc>
        <w:tc>
          <w:tcPr>
            <w:tcW w:w="57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c>
          <w:tcPr>
            <w:tcW w:w="837"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&lt;35</w:t>
            </w:r>
          </w:p>
        </w:tc>
        <w:tc>
          <w:tcPr>
            <w:tcW w:w="998"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c>
          <w:tcPr>
            <w:tcW w:w="1324"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35.0-38.4</w:t>
            </w:r>
          </w:p>
        </w:tc>
        <w:tc>
          <w:tcPr>
            <w:tcW w:w="116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c>
          <w:tcPr>
            <w:tcW w:w="1162"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&gt;38.5</w:t>
            </w:r>
          </w:p>
        </w:tc>
        <w:tc>
          <w:tcPr>
            <w:tcW w:w="760"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r>
      <w:tr w:rsidR="008774D0" w:rsidTr="008774D0">
        <w:tc>
          <w:tcPr>
            <w:tcW w:w="2819"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AVPU</w:t>
            </w:r>
          </w:p>
        </w:tc>
        <w:tc>
          <w:tcPr>
            <w:tcW w:w="57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c>
          <w:tcPr>
            <w:tcW w:w="837"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c>
          <w:tcPr>
            <w:tcW w:w="998"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w:t>
            </w:r>
          </w:p>
        </w:tc>
        <w:tc>
          <w:tcPr>
            <w:tcW w:w="1324"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A</w:t>
            </w:r>
          </w:p>
        </w:tc>
        <w:tc>
          <w:tcPr>
            <w:tcW w:w="1163"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V</w:t>
            </w:r>
          </w:p>
        </w:tc>
        <w:tc>
          <w:tcPr>
            <w:tcW w:w="1162"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P</w:t>
            </w:r>
          </w:p>
        </w:tc>
        <w:tc>
          <w:tcPr>
            <w:tcW w:w="760" w:type="dxa"/>
            <w:tcBorders>
              <w:top w:val="nil"/>
              <w:left w:val="nil"/>
              <w:bottom w:val="nil"/>
              <w:right w:val="nil"/>
            </w:tcBorders>
            <w:tcMar>
              <w:top w:w="15" w:type="dxa"/>
              <w:left w:w="15" w:type="dxa"/>
              <w:bottom w:w="15" w:type="dxa"/>
              <w:right w:w="15" w:type="dxa"/>
            </w:tcMar>
            <w:vAlign w:val="center"/>
            <w:hideMark/>
          </w:tcPr>
          <w:p w:rsidR="008774D0" w:rsidRDefault="008774D0">
            <w:pPr>
              <w:suppressAutoHyphens/>
            </w:pPr>
            <w:r>
              <w:t>U</w:t>
            </w:r>
          </w:p>
        </w:tc>
      </w:tr>
    </w:tbl>
    <w:p w:rsidR="008774D0" w:rsidRDefault="008774D0" w:rsidP="008774D0">
      <w:pPr>
        <w:pStyle w:val="NormaleWeb"/>
        <w:rPr>
          <w:sz w:val="18"/>
          <w:szCs w:val="18"/>
        </w:rPr>
      </w:pPr>
      <w:r>
        <w:rPr>
          <w:sz w:val="18"/>
          <w:szCs w:val="18"/>
        </w:rPr>
        <w:t>Stato di coscienza: A: vigile,  V: risponde alla parole, P: risponde agli stimoli dolorosi, U: non risponde</w:t>
      </w:r>
    </w:p>
    <w:p w:rsidR="008774D0" w:rsidRDefault="008774D0" w:rsidP="008774D0">
      <w:pPr>
        <w:pStyle w:val="NormaleWeb"/>
        <w:rPr>
          <w:sz w:val="18"/>
          <w:szCs w:val="18"/>
        </w:rPr>
      </w:pPr>
    </w:p>
    <w:p w:rsidR="008774D0" w:rsidRDefault="008774D0" w:rsidP="008774D0">
      <w:pPr>
        <w:pStyle w:val="NormaleWeb"/>
        <w:jc w:val="both"/>
        <w:rPr>
          <w:rFonts w:ascii="Arial" w:hAnsi="Arial" w:cs="Arial"/>
        </w:rPr>
      </w:pPr>
      <w:r>
        <w:rPr>
          <w:rFonts w:ascii="Arial" w:hAnsi="Arial" w:cs="Arial"/>
        </w:rPr>
        <w:t xml:space="preserve">Un punteggio elevato è predittivo di ammissione al pronto soccorso (PS), alla terapia </w:t>
      </w:r>
      <w:r w:rsidR="00C42741">
        <w:rPr>
          <w:rFonts w:ascii="Arial" w:hAnsi="Arial" w:cs="Arial"/>
        </w:rPr>
        <w:t>intensiva, e anche di mortalità</w:t>
      </w:r>
      <w:r>
        <w:rPr>
          <w:rFonts w:ascii="Arial" w:hAnsi="Arial" w:cs="Arial"/>
        </w:rPr>
        <w:t>; inoltre predice l’utilizzazione di risorse sanitarie . La valutazione del MEWS  nel tempo fornisce indicazioni prognostiche  in quanto misura l’instabili</w:t>
      </w:r>
      <w:r w:rsidR="002D55D8">
        <w:rPr>
          <w:rFonts w:ascii="Arial" w:hAnsi="Arial" w:cs="Arial"/>
        </w:rPr>
        <w:t xml:space="preserve">tà clinica; </w:t>
      </w:r>
      <w:r>
        <w:rPr>
          <w:rFonts w:ascii="Arial" w:hAnsi="Arial" w:cs="Arial"/>
        </w:rPr>
        <w:t>anche dal punto di vista didattico MEWS rappresenta un significativo strumento. In Geriatria la sua validazione comporterebbe un riferimento ai valori normali dei p</w:t>
      </w:r>
      <w:r w:rsidR="00691144">
        <w:rPr>
          <w:rFonts w:ascii="Arial" w:hAnsi="Arial" w:cs="Arial"/>
        </w:rPr>
        <w:t>arametri fisiologici</w:t>
      </w:r>
      <w:r>
        <w:rPr>
          <w:rFonts w:ascii="Arial" w:hAnsi="Arial" w:cs="Arial"/>
        </w:rPr>
        <w:t xml:space="preserve"> in rapporto all’età: la sua utilizzazione da parte del medico di famiglia consentirebbe la precoce rilevazione di eventi clinici che avendo sintomatologia spesso atipica</w:t>
      </w:r>
      <w:r w:rsidR="002D55D8">
        <w:rPr>
          <w:rFonts w:ascii="Arial" w:hAnsi="Arial" w:cs="Arial"/>
        </w:rPr>
        <w:t>,</w:t>
      </w:r>
      <w:r>
        <w:rPr>
          <w:rFonts w:ascii="Arial" w:hAnsi="Arial" w:cs="Arial"/>
        </w:rPr>
        <w:t xml:space="preserve"> comportano diagnosi tardive; la sua rilevazione frequente potrebbe segnalare precocemente anche gli effetti avversi alle terapie mediche e chirurgiche: si pensi alle sue variazioni in rapporto all’interventi chirurgico.</w:t>
      </w:r>
      <w:r w:rsidR="002D55D8">
        <w:rPr>
          <w:rFonts w:ascii="Arial" w:hAnsi="Arial" w:cs="Arial"/>
        </w:rPr>
        <w:t xml:space="preserve"> </w:t>
      </w:r>
      <w:r>
        <w:rPr>
          <w:rFonts w:ascii="Arial" w:hAnsi="Arial" w:cs="Arial"/>
        </w:rPr>
        <w:t xml:space="preserve">Come si vede non </w:t>
      </w:r>
      <w:r w:rsidR="002A1D70">
        <w:rPr>
          <w:rFonts w:ascii="Arial" w:hAnsi="Arial" w:cs="Arial"/>
        </w:rPr>
        <w:t xml:space="preserve">si </w:t>
      </w:r>
      <w:r>
        <w:rPr>
          <w:rFonts w:ascii="Arial" w:hAnsi="Arial" w:cs="Arial"/>
        </w:rPr>
        <w:t>tiene conto della disabilità che nel breve termine non  influenza la progn</w:t>
      </w:r>
      <w:r w:rsidR="00C42741">
        <w:rPr>
          <w:rFonts w:ascii="Arial" w:hAnsi="Arial" w:cs="Arial"/>
        </w:rPr>
        <w:t>osi; il MEWS indica</w:t>
      </w:r>
      <w:r>
        <w:rPr>
          <w:rFonts w:ascii="Arial" w:hAnsi="Arial" w:cs="Arial"/>
        </w:rPr>
        <w:t xml:space="preserve"> la necessità di attenzioni e di cure. Il monitoraggio dei segni vitali con i quali si calcola l’indice MEWS  è utile così come la registrazione dei segni</w:t>
      </w:r>
      <w:r w:rsidR="00C42741">
        <w:rPr>
          <w:rFonts w:ascii="Arial" w:hAnsi="Arial" w:cs="Arial"/>
        </w:rPr>
        <w:t xml:space="preserve"> vitali nel tempo.</w:t>
      </w:r>
    </w:p>
    <w:p w:rsidR="00126C79" w:rsidRDefault="00126C79" w:rsidP="008774D0">
      <w:pPr>
        <w:pStyle w:val="NormaleWeb"/>
        <w:jc w:val="both"/>
        <w:rPr>
          <w:rFonts w:ascii="Arial" w:hAnsi="Arial" w:cs="Arial"/>
        </w:rPr>
      </w:pPr>
    </w:p>
    <w:p w:rsidR="00B904E7" w:rsidRDefault="00126C79" w:rsidP="008774D0">
      <w:pPr>
        <w:pStyle w:val="NormaleWeb"/>
        <w:jc w:val="both"/>
        <w:rPr>
          <w:rFonts w:ascii="Arial" w:hAnsi="Arial" w:cs="Arial"/>
        </w:rPr>
      </w:pPr>
      <w:r w:rsidRPr="00211CCB">
        <w:rPr>
          <w:rFonts w:ascii="Arial" w:hAnsi="Arial" w:cs="Arial"/>
        </w:rPr>
        <w:t xml:space="preserve">La </w:t>
      </w:r>
      <w:proofErr w:type="spellStart"/>
      <w:r w:rsidRPr="00C42741">
        <w:rPr>
          <w:rFonts w:ascii="Arial" w:hAnsi="Arial" w:cs="Arial"/>
          <w:b/>
        </w:rPr>
        <w:t>mu</w:t>
      </w:r>
      <w:r w:rsidR="00565AE4" w:rsidRPr="00C42741">
        <w:rPr>
          <w:rFonts w:ascii="Arial" w:hAnsi="Arial" w:cs="Arial"/>
          <w:b/>
        </w:rPr>
        <w:t>ltimorbilità</w:t>
      </w:r>
      <w:proofErr w:type="spellEnd"/>
      <w:r w:rsidR="00565AE4">
        <w:rPr>
          <w:rFonts w:ascii="Arial" w:hAnsi="Arial" w:cs="Arial"/>
        </w:rPr>
        <w:t xml:space="preserve"> è un problema  in medicina geriatrica, affrontato</w:t>
      </w:r>
      <w:r w:rsidRPr="00211CCB">
        <w:rPr>
          <w:rFonts w:ascii="Arial" w:hAnsi="Arial" w:cs="Arial"/>
        </w:rPr>
        <w:t xml:space="preserve"> sempre più sp</w:t>
      </w:r>
      <w:r w:rsidR="00C42741">
        <w:rPr>
          <w:rFonts w:ascii="Arial" w:hAnsi="Arial" w:cs="Arial"/>
        </w:rPr>
        <w:t xml:space="preserve">esso dalla ricerca del settore; essa </w:t>
      </w:r>
      <w:r w:rsidR="00211CCB" w:rsidRPr="00211CCB">
        <w:rPr>
          <w:rFonts w:ascii="Arial" w:hAnsi="Arial" w:cs="Arial"/>
        </w:rPr>
        <w:t xml:space="preserve">influenza negativamente la durata della vita, la autosufficienza nella vita quotidiana, gli anni  della vita vissuti con disabilità; quindi il livello di </w:t>
      </w:r>
      <w:proofErr w:type="spellStart"/>
      <w:r w:rsidR="00211CCB" w:rsidRPr="00211CCB">
        <w:rPr>
          <w:rFonts w:ascii="Arial" w:hAnsi="Arial" w:cs="Arial"/>
        </w:rPr>
        <w:t>multimorbilità</w:t>
      </w:r>
      <w:proofErr w:type="spellEnd"/>
      <w:r w:rsidR="00211CCB" w:rsidRPr="00211CCB">
        <w:rPr>
          <w:rFonts w:ascii="Arial" w:hAnsi="Arial" w:cs="Arial"/>
        </w:rPr>
        <w:t xml:space="preserve"> è parametro importante di cui si dovrebbe tener conto attribuendole priorità nella salute pubblica (J </w:t>
      </w:r>
      <w:proofErr w:type="spellStart"/>
      <w:r w:rsidR="00211CCB" w:rsidRPr="00211CCB">
        <w:rPr>
          <w:rFonts w:ascii="Arial" w:hAnsi="Arial" w:cs="Arial"/>
        </w:rPr>
        <w:t>Am</w:t>
      </w:r>
      <w:proofErr w:type="spellEnd"/>
      <w:r w:rsidR="009F1A3D">
        <w:rPr>
          <w:rFonts w:ascii="Arial" w:hAnsi="Arial" w:cs="Arial"/>
        </w:rPr>
        <w:t xml:space="preserve"> </w:t>
      </w:r>
      <w:proofErr w:type="spellStart"/>
      <w:r w:rsidR="009F1A3D">
        <w:rPr>
          <w:rFonts w:ascii="Arial" w:hAnsi="Arial" w:cs="Arial"/>
        </w:rPr>
        <w:t>Geriatr</w:t>
      </w:r>
      <w:proofErr w:type="spellEnd"/>
      <w:r w:rsidR="009F1A3D">
        <w:rPr>
          <w:rFonts w:ascii="Arial" w:hAnsi="Arial" w:cs="Arial"/>
        </w:rPr>
        <w:t xml:space="preserve"> </w:t>
      </w:r>
      <w:proofErr w:type="spellStart"/>
      <w:r w:rsidR="009F1A3D">
        <w:rPr>
          <w:rFonts w:ascii="Arial" w:hAnsi="Arial" w:cs="Arial"/>
        </w:rPr>
        <w:t>Soc</w:t>
      </w:r>
      <w:proofErr w:type="spellEnd"/>
      <w:r w:rsidR="009F1A3D">
        <w:rPr>
          <w:rFonts w:ascii="Arial" w:hAnsi="Arial" w:cs="Arial"/>
        </w:rPr>
        <w:t xml:space="preserve"> 2017; 65:1056–1060</w:t>
      </w:r>
      <w:r w:rsidR="00211CCB" w:rsidRPr="00211CCB">
        <w:rPr>
          <w:rFonts w:ascii="Arial" w:hAnsi="Arial" w:cs="Arial"/>
        </w:rPr>
        <w:t>).</w:t>
      </w:r>
      <w:r w:rsidR="002D55D8">
        <w:rPr>
          <w:rFonts w:ascii="Arial" w:hAnsi="Arial" w:cs="Arial"/>
        </w:rPr>
        <w:t xml:space="preserve"> </w:t>
      </w:r>
      <w:r w:rsidR="00B904E7">
        <w:rPr>
          <w:rFonts w:ascii="Arial" w:hAnsi="Arial" w:cs="Arial"/>
        </w:rPr>
        <w:t xml:space="preserve">La gestione del paziente </w:t>
      </w:r>
      <w:r w:rsidR="00565AE4">
        <w:rPr>
          <w:rFonts w:ascii="Arial" w:hAnsi="Arial" w:cs="Arial"/>
        </w:rPr>
        <w:t xml:space="preserve">anziano con problemi </w:t>
      </w:r>
      <w:r w:rsidR="00C42741">
        <w:rPr>
          <w:rFonts w:ascii="Arial" w:hAnsi="Arial" w:cs="Arial"/>
        </w:rPr>
        <w:t xml:space="preserve">legati alla </w:t>
      </w:r>
      <w:proofErr w:type="spellStart"/>
      <w:r w:rsidR="00C42741">
        <w:rPr>
          <w:rFonts w:ascii="Arial" w:hAnsi="Arial" w:cs="Arial"/>
        </w:rPr>
        <w:t>multipatologia</w:t>
      </w:r>
      <w:proofErr w:type="spellEnd"/>
      <w:r w:rsidR="00C42741">
        <w:rPr>
          <w:rFonts w:ascii="Arial" w:hAnsi="Arial" w:cs="Arial"/>
        </w:rPr>
        <w:t xml:space="preserve"> </w:t>
      </w:r>
      <w:r w:rsidR="00565AE4">
        <w:rPr>
          <w:rFonts w:ascii="Arial" w:hAnsi="Arial" w:cs="Arial"/>
        </w:rPr>
        <w:t xml:space="preserve"> è </w:t>
      </w:r>
      <w:r w:rsidR="00B904E7">
        <w:rPr>
          <w:rFonts w:ascii="Arial" w:hAnsi="Arial" w:cs="Arial"/>
        </w:rPr>
        <w:t xml:space="preserve"> in atte</w:t>
      </w:r>
      <w:r w:rsidR="00565AE4">
        <w:rPr>
          <w:rFonts w:ascii="Arial" w:hAnsi="Arial" w:cs="Arial"/>
        </w:rPr>
        <w:t>sa di solu</w:t>
      </w:r>
      <w:r w:rsidR="00C42741">
        <w:rPr>
          <w:rFonts w:ascii="Arial" w:hAnsi="Arial" w:cs="Arial"/>
        </w:rPr>
        <w:t>zioni qualificate che richiederebbero</w:t>
      </w:r>
      <w:r w:rsidR="00565AE4">
        <w:rPr>
          <w:rFonts w:ascii="Arial" w:hAnsi="Arial" w:cs="Arial"/>
        </w:rPr>
        <w:t xml:space="preserve"> un’ attenzione che non c’è; la </w:t>
      </w:r>
      <w:proofErr w:type="spellStart"/>
      <w:r w:rsidR="00565AE4">
        <w:rPr>
          <w:rFonts w:ascii="Arial" w:hAnsi="Arial" w:cs="Arial"/>
        </w:rPr>
        <w:t>multimorbilità</w:t>
      </w:r>
      <w:proofErr w:type="spellEnd"/>
      <w:r w:rsidR="00565AE4">
        <w:rPr>
          <w:rFonts w:ascii="Arial" w:hAnsi="Arial" w:cs="Arial"/>
        </w:rPr>
        <w:t xml:space="preserve">  influenza</w:t>
      </w:r>
      <w:r w:rsidR="00B904E7">
        <w:rPr>
          <w:rFonts w:ascii="Arial" w:hAnsi="Arial" w:cs="Arial"/>
        </w:rPr>
        <w:t xml:space="preserve"> l’ approccio operativo e la proposta curativo-assistenziale.  Lo studio </w:t>
      </w:r>
      <w:hyperlink r:id="rId8" w:history="1">
        <w:r w:rsidR="00B904E7" w:rsidRPr="002D0BBB">
          <w:rPr>
            <w:rStyle w:val="Collegamentoipertestuale"/>
            <w:rFonts w:ascii="Arial" w:hAnsi="Arial" w:cs="Arial"/>
          </w:rPr>
          <w:t>https://www.bristol.ac.uk/population-health-sciences/projects/3d-study/</w:t>
        </w:r>
      </w:hyperlink>
      <w:r w:rsidR="00B904E7">
        <w:rPr>
          <w:rFonts w:ascii="Arial" w:hAnsi="Arial" w:cs="Arial"/>
        </w:rPr>
        <w:t xml:space="preserve"> è ad oggi il più vasto nel settore dell’ approccio long-</w:t>
      </w:r>
      <w:proofErr w:type="spellStart"/>
      <w:r w:rsidR="00B904E7">
        <w:rPr>
          <w:rFonts w:ascii="Arial" w:hAnsi="Arial" w:cs="Arial"/>
        </w:rPr>
        <w:t>term</w:t>
      </w:r>
      <w:proofErr w:type="spellEnd"/>
      <w:r w:rsidR="00B904E7">
        <w:rPr>
          <w:rFonts w:ascii="Arial" w:hAnsi="Arial" w:cs="Arial"/>
        </w:rPr>
        <w:t xml:space="preserve"> degli anziani con </w:t>
      </w:r>
      <w:proofErr w:type="spellStart"/>
      <w:r w:rsidR="00B904E7">
        <w:rPr>
          <w:rFonts w:ascii="Arial" w:hAnsi="Arial" w:cs="Arial"/>
        </w:rPr>
        <w:t>multipatologia</w:t>
      </w:r>
      <w:proofErr w:type="spellEnd"/>
      <w:r w:rsidR="00D76C2D">
        <w:rPr>
          <w:rFonts w:ascii="Arial" w:hAnsi="Arial" w:cs="Arial"/>
        </w:rPr>
        <w:t xml:space="preserve"> (siamo nel </w:t>
      </w:r>
      <w:proofErr w:type="spellStart"/>
      <w:r w:rsidR="00D76C2D">
        <w:rPr>
          <w:rFonts w:ascii="Arial" w:hAnsi="Arial" w:cs="Arial"/>
        </w:rPr>
        <w:t>setting</w:t>
      </w:r>
      <w:proofErr w:type="spellEnd"/>
      <w:r w:rsidR="00D76C2D">
        <w:rPr>
          <w:rFonts w:ascii="Arial" w:hAnsi="Arial" w:cs="Arial"/>
        </w:rPr>
        <w:t xml:space="preserve"> cure primarie)</w:t>
      </w:r>
      <w:r w:rsidR="00B904E7">
        <w:rPr>
          <w:rFonts w:ascii="Arial" w:hAnsi="Arial" w:cs="Arial"/>
        </w:rPr>
        <w:t xml:space="preserve"> : questi con maggior probabilità presentano precaria salute fisica e mentale e anche ridotta qualità della vita; questi pazienti assumono molti farmaci e subiscono modificazioni non gradite del </w:t>
      </w:r>
      <w:r w:rsidR="00B904E7" w:rsidRPr="00691144">
        <w:rPr>
          <w:rFonts w:ascii="Arial" w:hAnsi="Arial" w:cs="Arial"/>
        </w:rPr>
        <w:t>loro stile di vita; non ra</w:t>
      </w:r>
      <w:r w:rsidR="00D76C2D" w:rsidRPr="00691144">
        <w:rPr>
          <w:rFonts w:ascii="Arial" w:hAnsi="Arial" w:cs="Arial"/>
        </w:rPr>
        <w:t>ramente sono istituzionalizzati.  Lo studio di intervento su</w:t>
      </w:r>
      <w:r w:rsidR="00D76C2D" w:rsidRPr="00864806">
        <w:rPr>
          <w:rFonts w:ascii="Arial" w:hAnsi="Arial" w:cs="Arial"/>
        </w:rPr>
        <w:t xml:space="preserve"> </w:t>
      </w:r>
      <w:r w:rsidR="00864806" w:rsidRPr="00864806">
        <w:rPr>
          <w:rFonts w:ascii="Arial" w:hAnsi="Arial" w:cs="Arial"/>
        </w:rPr>
        <w:t xml:space="preserve">Lancet </w:t>
      </w:r>
      <w:r w:rsidR="00864806">
        <w:rPr>
          <w:rFonts w:ascii="Arial" w:hAnsi="Arial" w:cs="Arial"/>
          <w:color w:val="FF0000"/>
        </w:rPr>
        <w:t>(allegato</w:t>
      </w:r>
      <w:r w:rsidR="009F1A3D">
        <w:rPr>
          <w:rFonts w:ascii="Arial" w:hAnsi="Arial" w:cs="Arial"/>
          <w:color w:val="FF0000"/>
        </w:rPr>
        <w:t xml:space="preserve"> 2</w:t>
      </w:r>
      <w:r w:rsidR="00864806">
        <w:rPr>
          <w:rFonts w:ascii="Arial" w:hAnsi="Arial" w:cs="Arial"/>
          <w:color w:val="FF0000"/>
        </w:rPr>
        <w:t>)</w:t>
      </w:r>
      <w:r w:rsidR="00D76C2D" w:rsidRPr="00B06195">
        <w:rPr>
          <w:rFonts w:ascii="Arial" w:hAnsi="Arial" w:cs="Arial"/>
          <w:color w:val="FF0000"/>
        </w:rPr>
        <w:t xml:space="preserve"> </w:t>
      </w:r>
      <w:r w:rsidR="00D76C2D">
        <w:rPr>
          <w:rFonts w:ascii="Arial" w:hAnsi="Arial" w:cs="Arial"/>
        </w:rPr>
        <w:t xml:space="preserve">non è confortante;  il metodo  basato su </w:t>
      </w:r>
      <w:proofErr w:type="spellStart"/>
      <w:r w:rsidR="00D76C2D">
        <w:rPr>
          <w:rFonts w:ascii="Arial" w:hAnsi="Arial" w:cs="Arial"/>
        </w:rPr>
        <w:t>patient-centered</w:t>
      </w:r>
      <w:proofErr w:type="spellEnd"/>
      <w:r w:rsidR="00D76C2D">
        <w:rPr>
          <w:rFonts w:ascii="Arial" w:hAnsi="Arial" w:cs="Arial"/>
        </w:rPr>
        <w:t xml:space="preserve"> care non m</w:t>
      </w:r>
      <w:r w:rsidR="00691144">
        <w:rPr>
          <w:rFonts w:ascii="Arial" w:hAnsi="Arial" w:cs="Arial"/>
        </w:rPr>
        <w:t>igliorò la qualità della vita di</w:t>
      </w:r>
      <w:r w:rsidR="00D76C2D">
        <w:rPr>
          <w:rFonts w:ascii="Arial" w:hAnsi="Arial" w:cs="Arial"/>
        </w:rPr>
        <w:t xml:space="preserve"> una casistica ampia di anziani che avevano almeno 3 malattie . Le critiche al trial non sono mancate: con quale metodologie si è intervenuti, la </w:t>
      </w:r>
      <w:proofErr w:type="spellStart"/>
      <w:r w:rsidR="00D76C2D">
        <w:rPr>
          <w:rFonts w:ascii="Arial" w:hAnsi="Arial" w:cs="Arial"/>
        </w:rPr>
        <w:t>multimorbilità</w:t>
      </w:r>
      <w:proofErr w:type="spellEnd"/>
      <w:r w:rsidR="00D76C2D">
        <w:rPr>
          <w:rFonts w:ascii="Arial" w:hAnsi="Arial" w:cs="Arial"/>
        </w:rPr>
        <w:t xml:space="preserve"> non era ben pesato (spesso problemi mentali). La valutazione aggiuntiva della fragilità avrebbe forse consentito</w:t>
      </w:r>
      <w:r w:rsidR="004B3DA3">
        <w:rPr>
          <w:rFonts w:ascii="Arial" w:hAnsi="Arial" w:cs="Arial"/>
        </w:rPr>
        <w:t xml:space="preserve"> di identificare quali pazienti erano più a rischio di </w:t>
      </w:r>
      <w:proofErr w:type="spellStart"/>
      <w:r w:rsidR="004B3DA3">
        <w:rPr>
          <w:rFonts w:ascii="Arial" w:hAnsi="Arial" w:cs="Arial"/>
        </w:rPr>
        <w:t>outcome</w:t>
      </w:r>
      <w:proofErr w:type="spellEnd"/>
      <w:r w:rsidR="004B3DA3">
        <w:rPr>
          <w:rFonts w:ascii="Arial" w:hAnsi="Arial" w:cs="Arial"/>
        </w:rPr>
        <w:t xml:space="preserve"> negativi e pertanto più bisognosi di un intervento centrato sul malato. Non è ben definita poi la partecipazione al progetto di cura e di assistenza del paziente e anche del </w:t>
      </w:r>
      <w:proofErr w:type="spellStart"/>
      <w:r w:rsidR="004B3DA3">
        <w:rPr>
          <w:rFonts w:ascii="Arial" w:hAnsi="Arial" w:cs="Arial"/>
        </w:rPr>
        <w:t>caregiver</w:t>
      </w:r>
      <w:proofErr w:type="spellEnd"/>
      <w:r w:rsidR="004B3DA3">
        <w:rPr>
          <w:rFonts w:ascii="Arial" w:hAnsi="Arial" w:cs="Arial"/>
        </w:rPr>
        <w:t>.</w:t>
      </w:r>
      <w:r w:rsidR="00D76C2D">
        <w:rPr>
          <w:rFonts w:ascii="Arial" w:hAnsi="Arial" w:cs="Arial"/>
        </w:rPr>
        <w:t xml:space="preserve"> </w:t>
      </w:r>
    </w:p>
    <w:p w:rsidR="00F47309" w:rsidRDefault="00F47309" w:rsidP="008774D0">
      <w:pPr>
        <w:pStyle w:val="NormaleWeb"/>
        <w:jc w:val="both"/>
        <w:rPr>
          <w:rFonts w:ascii="Arial" w:hAnsi="Arial" w:cs="Arial"/>
        </w:rPr>
      </w:pPr>
      <w:r>
        <w:rPr>
          <w:rFonts w:ascii="Arial" w:hAnsi="Arial" w:cs="Arial"/>
        </w:rPr>
        <w:t xml:space="preserve">Quindi il problema dell’ efficacia delle cure </w:t>
      </w:r>
      <w:proofErr w:type="spellStart"/>
      <w:r>
        <w:rPr>
          <w:rFonts w:ascii="Arial" w:hAnsi="Arial" w:cs="Arial"/>
        </w:rPr>
        <w:t>longterm</w:t>
      </w:r>
      <w:proofErr w:type="spellEnd"/>
      <w:r>
        <w:rPr>
          <w:rFonts w:ascii="Arial" w:hAnsi="Arial" w:cs="Arial"/>
        </w:rPr>
        <w:t xml:space="preserve"> </w:t>
      </w:r>
      <w:r w:rsidR="00CD1224">
        <w:rPr>
          <w:rFonts w:ascii="Arial" w:hAnsi="Arial" w:cs="Arial"/>
        </w:rPr>
        <w:t xml:space="preserve">agli anziani fragili </w:t>
      </w:r>
      <w:r>
        <w:rPr>
          <w:rFonts w:ascii="Arial" w:hAnsi="Arial" w:cs="Arial"/>
        </w:rPr>
        <w:t>è ancora senza soluzioni certe; forse manca la semplificazione dei problemi; nelle ri</w:t>
      </w:r>
      <w:r w:rsidR="00CD1224">
        <w:rPr>
          <w:rFonts w:ascii="Arial" w:hAnsi="Arial" w:cs="Arial"/>
        </w:rPr>
        <w:t xml:space="preserve">cerche a volte prevale “ </w:t>
      </w:r>
      <w:proofErr w:type="spellStart"/>
      <w:r w:rsidR="00CD1224">
        <w:rPr>
          <w:rFonts w:ascii="Arial" w:hAnsi="Arial" w:cs="Arial"/>
        </w:rPr>
        <w:t>gyzmo</w:t>
      </w:r>
      <w:proofErr w:type="spellEnd"/>
      <w:r w:rsidR="00CD1224">
        <w:rPr>
          <w:rFonts w:ascii="Arial" w:hAnsi="Arial" w:cs="Arial"/>
        </w:rPr>
        <w:t xml:space="preserve"> </w:t>
      </w:r>
      <w:proofErr w:type="spellStart"/>
      <w:r w:rsidR="00CD1224">
        <w:rPr>
          <w:rFonts w:ascii="Arial" w:hAnsi="Arial" w:cs="Arial"/>
        </w:rPr>
        <w:t>i</w:t>
      </w:r>
      <w:r>
        <w:rPr>
          <w:rFonts w:ascii="Arial" w:hAnsi="Arial" w:cs="Arial"/>
        </w:rPr>
        <w:t>dolatry</w:t>
      </w:r>
      <w:proofErr w:type="spellEnd"/>
      <w:r>
        <w:rPr>
          <w:rFonts w:ascii="Arial" w:hAnsi="Arial" w:cs="Arial"/>
        </w:rPr>
        <w:t>”  cioè il gadget da utilizzare per incontri e pubblicazioni scientifiche poco utili per i pazienti.</w:t>
      </w:r>
      <w:r w:rsidR="00153D31">
        <w:rPr>
          <w:rFonts w:ascii="Arial" w:hAnsi="Arial" w:cs="Arial"/>
        </w:rPr>
        <w:t xml:space="preserve"> Compromissioni funzionali si accumulano nello stesso paziente </w:t>
      </w:r>
      <w:r w:rsidR="00CD1224">
        <w:rPr>
          <w:rFonts w:ascii="Arial" w:hAnsi="Arial" w:cs="Arial"/>
        </w:rPr>
        <w:t>provocando disabilità</w:t>
      </w:r>
      <w:r w:rsidR="00153D31">
        <w:rPr>
          <w:rFonts w:ascii="Arial" w:hAnsi="Arial" w:cs="Arial"/>
        </w:rPr>
        <w:t>: spesso interventi multidisciplinari sono necessari per aiutare l’anziano che non ce la fa; la diagnosi tr</w:t>
      </w:r>
      <w:r w:rsidR="00CD1224">
        <w:rPr>
          <w:rFonts w:ascii="Arial" w:hAnsi="Arial" w:cs="Arial"/>
        </w:rPr>
        <w:t xml:space="preserve">adizionale e precisa a volte potrebbe non essere </w:t>
      </w:r>
      <w:r w:rsidR="00153D31">
        <w:rPr>
          <w:rFonts w:ascii="Arial" w:hAnsi="Arial" w:cs="Arial"/>
        </w:rPr>
        <w:t xml:space="preserve"> necessaria anche perché senza</w:t>
      </w:r>
      <w:r w:rsidR="00565AE4">
        <w:rPr>
          <w:rFonts w:ascii="Arial" w:hAnsi="Arial" w:cs="Arial"/>
        </w:rPr>
        <w:t xml:space="preserve"> prospettive di cure specifiche.</w:t>
      </w:r>
    </w:p>
    <w:p w:rsidR="00DF6896" w:rsidRPr="007A516C" w:rsidRDefault="00765DEE" w:rsidP="005F6288">
      <w:pPr>
        <w:shd w:val="clear" w:color="auto" w:fill="F2F2F2" w:themeFill="background1" w:themeFillShade="F2"/>
        <w:tabs>
          <w:tab w:val="left" w:pos="3402"/>
        </w:tabs>
        <w:spacing w:after="160" w:line="256" w:lineRule="auto"/>
        <w:jc w:val="both"/>
        <w:rPr>
          <w:rFonts w:ascii="Arial" w:eastAsia="Calibri" w:hAnsi="Arial" w:cs="Arial"/>
          <w:sz w:val="24"/>
          <w:szCs w:val="24"/>
          <w:shd w:val="clear" w:color="auto" w:fill="EFF1F3"/>
        </w:rPr>
      </w:pPr>
      <w:r w:rsidRPr="00565AE4">
        <w:rPr>
          <w:rFonts w:ascii="Arial" w:eastAsia="Calibri" w:hAnsi="Arial" w:cs="Arial"/>
          <w:color w:val="1D2129"/>
          <w:sz w:val="24"/>
          <w:szCs w:val="24"/>
          <w:shd w:val="clear" w:color="auto" w:fill="EFF1F3"/>
        </w:rPr>
        <w:t xml:space="preserve">Fragilità e </w:t>
      </w:r>
      <w:proofErr w:type="spellStart"/>
      <w:r w:rsidRPr="00565AE4">
        <w:rPr>
          <w:rFonts w:ascii="Arial" w:eastAsia="Calibri" w:hAnsi="Arial" w:cs="Arial"/>
          <w:color w:val="1D2129"/>
          <w:sz w:val="24"/>
          <w:szCs w:val="24"/>
          <w:shd w:val="clear" w:color="auto" w:fill="EFF1F3"/>
        </w:rPr>
        <w:t>multimorbilità</w:t>
      </w:r>
      <w:proofErr w:type="spellEnd"/>
      <w:r w:rsidRPr="00565AE4">
        <w:rPr>
          <w:rFonts w:ascii="Arial" w:eastAsia="Calibri" w:hAnsi="Arial" w:cs="Arial"/>
          <w:color w:val="1D2129"/>
          <w:sz w:val="24"/>
          <w:szCs w:val="24"/>
          <w:shd w:val="clear" w:color="auto" w:fill="EFF1F3"/>
        </w:rPr>
        <w:t xml:space="preserve"> </w:t>
      </w:r>
      <w:r w:rsidR="00E836B8">
        <w:rPr>
          <w:rFonts w:ascii="Arial" w:eastAsia="Calibri" w:hAnsi="Arial" w:cs="Arial"/>
          <w:color w:val="1D2129"/>
          <w:sz w:val="24"/>
          <w:szCs w:val="24"/>
          <w:shd w:val="clear" w:color="auto" w:fill="EFF1F3"/>
        </w:rPr>
        <w:t xml:space="preserve"> </w:t>
      </w:r>
      <w:r w:rsidRPr="00565AE4">
        <w:rPr>
          <w:rFonts w:ascii="Arial" w:eastAsia="Calibri" w:hAnsi="Arial" w:cs="Arial"/>
          <w:color w:val="1D2129"/>
          <w:sz w:val="24"/>
          <w:szCs w:val="24"/>
          <w:shd w:val="clear" w:color="auto" w:fill="EFF1F3"/>
        </w:rPr>
        <w:t xml:space="preserve">sono fortemente associate alla disabilità oltre che alla </w:t>
      </w:r>
      <w:r w:rsidR="00B06195">
        <w:rPr>
          <w:rFonts w:ascii="Arial" w:eastAsia="Calibri" w:hAnsi="Arial" w:cs="Arial"/>
          <w:color w:val="1D2129"/>
          <w:sz w:val="24"/>
          <w:szCs w:val="24"/>
          <w:shd w:val="clear" w:color="auto" w:fill="EFF1F3"/>
        </w:rPr>
        <w:t xml:space="preserve">frequenza della </w:t>
      </w:r>
      <w:r w:rsidRPr="00565AE4">
        <w:rPr>
          <w:rFonts w:ascii="Arial" w:eastAsia="Calibri" w:hAnsi="Arial" w:cs="Arial"/>
          <w:color w:val="1D2129"/>
          <w:sz w:val="24"/>
          <w:szCs w:val="24"/>
          <w:shd w:val="clear" w:color="auto" w:fill="EFF1F3"/>
        </w:rPr>
        <w:t>ospedalizzazione, istituzionalizzazione e anche</w:t>
      </w:r>
      <w:r w:rsidR="00B06195">
        <w:rPr>
          <w:rFonts w:ascii="Arial" w:eastAsia="Calibri" w:hAnsi="Arial" w:cs="Arial"/>
          <w:color w:val="1D2129"/>
          <w:sz w:val="24"/>
          <w:szCs w:val="24"/>
          <w:shd w:val="clear" w:color="auto" w:fill="EFF1F3"/>
        </w:rPr>
        <w:t xml:space="preserve"> al rischio di </w:t>
      </w:r>
      <w:r w:rsidRPr="00565AE4">
        <w:rPr>
          <w:rFonts w:ascii="Arial" w:eastAsia="Calibri" w:hAnsi="Arial" w:cs="Arial"/>
          <w:color w:val="1D2129"/>
          <w:sz w:val="24"/>
          <w:szCs w:val="24"/>
          <w:shd w:val="clear" w:color="auto" w:fill="EFF1F3"/>
        </w:rPr>
        <w:t xml:space="preserve"> morte. La fragilità indica aumentata vulnerabili</w:t>
      </w:r>
      <w:r w:rsidR="00DF6896">
        <w:rPr>
          <w:rFonts w:ascii="Arial" w:eastAsia="Calibri" w:hAnsi="Arial" w:cs="Arial"/>
          <w:color w:val="1D2129"/>
          <w:sz w:val="24"/>
          <w:szCs w:val="24"/>
          <w:shd w:val="clear" w:color="auto" w:fill="EFF1F3"/>
        </w:rPr>
        <w:t>tà agli eventi stressanti  a causa della</w:t>
      </w:r>
      <w:r w:rsidRPr="00565AE4">
        <w:rPr>
          <w:rFonts w:ascii="Arial" w:eastAsia="Calibri" w:hAnsi="Arial" w:cs="Arial"/>
          <w:color w:val="1D2129"/>
          <w:sz w:val="24"/>
          <w:szCs w:val="24"/>
          <w:shd w:val="clear" w:color="auto" w:fill="EFF1F3"/>
        </w:rPr>
        <w:t xml:space="preserve"> diminuzione della riserva funzionale e anche ridotta resilienza; la </w:t>
      </w:r>
      <w:proofErr w:type="spellStart"/>
      <w:r w:rsidRPr="00565AE4">
        <w:rPr>
          <w:rFonts w:ascii="Arial" w:eastAsia="Calibri" w:hAnsi="Arial" w:cs="Arial"/>
          <w:color w:val="1D2129"/>
          <w:sz w:val="24"/>
          <w:szCs w:val="24"/>
          <w:shd w:val="clear" w:color="auto" w:fill="EFF1F3"/>
        </w:rPr>
        <w:t>multimorbilità</w:t>
      </w:r>
      <w:proofErr w:type="spellEnd"/>
      <w:r w:rsidRPr="00565AE4">
        <w:rPr>
          <w:rFonts w:ascii="Arial" w:eastAsia="Calibri" w:hAnsi="Arial" w:cs="Arial"/>
          <w:color w:val="1D2129"/>
          <w:sz w:val="24"/>
          <w:szCs w:val="24"/>
          <w:shd w:val="clear" w:color="auto" w:fill="EFF1F3"/>
        </w:rPr>
        <w:t xml:space="preserve"> cioè la coesistenza di 2 o più </w:t>
      </w:r>
      <w:r w:rsidRPr="007A516C">
        <w:rPr>
          <w:rFonts w:ascii="Arial" w:eastAsia="Calibri" w:hAnsi="Arial" w:cs="Arial"/>
          <w:sz w:val="24"/>
          <w:szCs w:val="24"/>
          <w:shd w:val="clear" w:color="auto" w:fill="EFF1F3"/>
        </w:rPr>
        <w:t>malattie croniche</w:t>
      </w:r>
      <w:r w:rsidR="00DF6896" w:rsidRPr="007A516C">
        <w:rPr>
          <w:rFonts w:ascii="Arial" w:eastAsia="Calibri" w:hAnsi="Arial" w:cs="Arial"/>
          <w:sz w:val="24"/>
          <w:szCs w:val="24"/>
          <w:shd w:val="clear" w:color="auto" w:fill="EFF1F3"/>
        </w:rPr>
        <w:t>,</w:t>
      </w:r>
      <w:r w:rsidRPr="007A516C">
        <w:rPr>
          <w:rFonts w:ascii="Arial" w:eastAsia="Calibri" w:hAnsi="Arial" w:cs="Arial"/>
          <w:sz w:val="24"/>
          <w:szCs w:val="24"/>
          <w:shd w:val="clear" w:color="auto" w:fill="EFF1F3"/>
        </w:rPr>
        <w:t xml:space="preserve"> non sempre si associa a fragilità; invece l’ anziano fragile è spesso</w:t>
      </w:r>
      <w:r w:rsidR="00E836B8" w:rsidRPr="007A516C">
        <w:rPr>
          <w:rFonts w:ascii="Arial" w:eastAsia="Calibri" w:hAnsi="Arial" w:cs="Arial"/>
          <w:sz w:val="24"/>
          <w:szCs w:val="24"/>
          <w:shd w:val="clear" w:color="auto" w:fill="EFF1F3"/>
        </w:rPr>
        <w:t xml:space="preserve"> portatore di malattie croniche.</w:t>
      </w:r>
      <w:r w:rsidR="00691144" w:rsidRPr="007A516C">
        <w:rPr>
          <w:rFonts w:ascii="Arial" w:eastAsia="Calibri" w:hAnsi="Arial" w:cs="Arial"/>
          <w:sz w:val="24"/>
          <w:szCs w:val="24"/>
          <w:shd w:val="clear" w:color="auto" w:fill="EFF1F3"/>
        </w:rPr>
        <w:t xml:space="preserve"> </w:t>
      </w:r>
      <w:r w:rsidRPr="007A516C">
        <w:rPr>
          <w:rFonts w:ascii="Arial" w:eastAsia="Calibri" w:hAnsi="Arial" w:cs="Arial"/>
          <w:sz w:val="24"/>
          <w:szCs w:val="24"/>
          <w:shd w:val="clear" w:color="auto" w:fill="EFF1F3"/>
        </w:rPr>
        <w:t xml:space="preserve">La Fragilità dovrebbe essere misurata nella pratica clinica come parte della routine nella cura degli anziani. </w:t>
      </w:r>
    </w:p>
    <w:p w:rsidR="00765DEE" w:rsidRPr="007A516C" w:rsidRDefault="00765DEE" w:rsidP="005F6288">
      <w:pPr>
        <w:shd w:val="clear" w:color="auto" w:fill="F2F2F2" w:themeFill="background1" w:themeFillShade="F2"/>
        <w:tabs>
          <w:tab w:val="left" w:pos="3402"/>
        </w:tabs>
        <w:spacing w:after="160" w:line="256" w:lineRule="auto"/>
        <w:jc w:val="both"/>
        <w:rPr>
          <w:rFonts w:ascii="Arial" w:eastAsia="Calibri" w:hAnsi="Arial" w:cs="Arial"/>
          <w:sz w:val="24"/>
          <w:szCs w:val="24"/>
          <w:shd w:val="clear" w:color="auto" w:fill="EFF1F3"/>
        </w:rPr>
      </w:pPr>
      <w:r w:rsidRPr="007A516C">
        <w:rPr>
          <w:rFonts w:ascii="Arial" w:eastAsia="Calibri" w:hAnsi="Arial" w:cs="Arial"/>
          <w:sz w:val="24"/>
          <w:szCs w:val="24"/>
          <w:shd w:val="clear" w:color="auto" w:fill="EFF1F3"/>
        </w:rPr>
        <w:t xml:space="preserve">Fragilità è un concetto geriatrico  che implica valutazione complessiva del malato , del suo ambiente di vita  in modo da individuare conseguentemente  il piano di cura più adeguato e  personalizzato. </w:t>
      </w:r>
    </w:p>
    <w:p w:rsidR="00765DEE" w:rsidRPr="007A516C" w:rsidRDefault="00765DEE" w:rsidP="005F6288">
      <w:pPr>
        <w:shd w:val="clear" w:color="auto" w:fill="F2F2F2" w:themeFill="background1" w:themeFillShade="F2"/>
        <w:tabs>
          <w:tab w:val="left" w:pos="3402"/>
        </w:tabs>
        <w:spacing w:after="160" w:line="256" w:lineRule="auto"/>
        <w:jc w:val="both"/>
        <w:rPr>
          <w:rFonts w:ascii="Arial" w:eastAsia="Calibri" w:hAnsi="Arial" w:cs="Arial"/>
          <w:sz w:val="24"/>
          <w:szCs w:val="24"/>
          <w:shd w:val="clear" w:color="auto" w:fill="EFF1F3"/>
        </w:rPr>
      </w:pPr>
      <w:r w:rsidRPr="007A516C">
        <w:rPr>
          <w:rFonts w:ascii="Arial" w:eastAsia="Calibri" w:hAnsi="Arial" w:cs="Arial"/>
          <w:sz w:val="24"/>
          <w:szCs w:val="24"/>
          <w:shd w:val="clear" w:color="auto" w:fill="EFF1F3"/>
        </w:rPr>
        <w:t xml:space="preserve">La disabilità sembra il parametro più sicuramente </w:t>
      </w:r>
      <w:r w:rsidR="00E836B8" w:rsidRPr="007A516C">
        <w:rPr>
          <w:rFonts w:ascii="Arial" w:eastAsia="Calibri" w:hAnsi="Arial" w:cs="Arial"/>
          <w:sz w:val="24"/>
          <w:szCs w:val="24"/>
          <w:shd w:val="clear" w:color="auto" w:fill="EFF1F3"/>
        </w:rPr>
        <w:t xml:space="preserve">e forse facilmente </w:t>
      </w:r>
      <w:r w:rsidRPr="007A516C">
        <w:rPr>
          <w:rFonts w:ascii="Arial" w:eastAsia="Calibri" w:hAnsi="Arial" w:cs="Arial"/>
          <w:sz w:val="24"/>
          <w:szCs w:val="24"/>
          <w:shd w:val="clear" w:color="auto" w:fill="EFF1F3"/>
        </w:rPr>
        <w:t xml:space="preserve">valutabile e di significato prognostico rilevante anche rispetto alla </w:t>
      </w:r>
      <w:proofErr w:type="spellStart"/>
      <w:r w:rsidRPr="007A516C">
        <w:rPr>
          <w:rFonts w:ascii="Arial" w:eastAsia="Calibri" w:hAnsi="Arial" w:cs="Arial"/>
          <w:sz w:val="24"/>
          <w:szCs w:val="24"/>
          <w:shd w:val="clear" w:color="auto" w:fill="EFF1F3"/>
        </w:rPr>
        <w:t>multimorbilità</w:t>
      </w:r>
      <w:proofErr w:type="spellEnd"/>
      <w:r w:rsidRPr="007A516C">
        <w:rPr>
          <w:rFonts w:ascii="Arial" w:eastAsia="Calibri" w:hAnsi="Arial" w:cs="Arial"/>
          <w:sz w:val="24"/>
          <w:szCs w:val="24"/>
          <w:shd w:val="clear" w:color="auto" w:fill="EFF1F3"/>
        </w:rPr>
        <w:t>.</w:t>
      </w:r>
      <w:r w:rsidR="00691144" w:rsidRPr="007A516C">
        <w:rPr>
          <w:rFonts w:ascii="Arial" w:eastAsia="Calibri" w:hAnsi="Arial" w:cs="Arial"/>
          <w:sz w:val="24"/>
          <w:szCs w:val="24"/>
          <w:shd w:val="clear" w:color="auto" w:fill="EFF1F3"/>
        </w:rPr>
        <w:t xml:space="preserve"> </w:t>
      </w:r>
      <w:r w:rsidRPr="007A516C">
        <w:rPr>
          <w:rFonts w:ascii="Arial" w:eastAsia="Calibri" w:hAnsi="Arial" w:cs="Arial"/>
          <w:sz w:val="24"/>
          <w:szCs w:val="24"/>
          <w:shd w:val="clear" w:color="auto" w:fill="EFF1F3"/>
        </w:rPr>
        <w:t xml:space="preserve">La fragilità è giudicata predittiva di </w:t>
      </w:r>
      <w:proofErr w:type="spellStart"/>
      <w:r w:rsidRPr="007A516C">
        <w:rPr>
          <w:rFonts w:ascii="Arial" w:eastAsia="Calibri" w:hAnsi="Arial" w:cs="Arial"/>
          <w:i/>
          <w:sz w:val="24"/>
          <w:szCs w:val="24"/>
          <w:shd w:val="clear" w:color="auto" w:fill="EFF1F3"/>
        </w:rPr>
        <w:t>outcome</w:t>
      </w:r>
      <w:proofErr w:type="spellEnd"/>
      <w:r w:rsidRPr="007A516C">
        <w:rPr>
          <w:rFonts w:ascii="Arial" w:eastAsia="Calibri" w:hAnsi="Arial" w:cs="Arial"/>
          <w:i/>
          <w:sz w:val="24"/>
          <w:szCs w:val="24"/>
          <w:shd w:val="clear" w:color="auto" w:fill="EFF1F3"/>
        </w:rPr>
        <w:t xml:space="preserve"> </w:t>
      </w:r>
      <w:proofErr w:type="spellStart"/>
      <w:r w:rsidRPr="007A516C">
        <w:rPr>
          <w:rFonts w:ascii="Arial" w:eastAsia="Calibri" w:hAnsi="Arial" w:cs="Arial"/>
          <w:i/>
          <w:sz w:val="24"/>
          <w:szCs w:val="24"/>
          <w:shd w:val="clear" w:color="auto" w:fill="EFF1F3"/>
        </w:rPr>
        <w:t>patient</w:t>
      </w:r>
      <w:proofErr w:type="spellEnd"/>
      <w:r w:rsidRPr="007A516C">
        <w:rPr>
          <w:rFonts w:ascii="Arial" w:eastAsia="Calibri" w:hAnsi="Arial" w:cs="Arial"/>
          <w:i/>
          <w:sz w:val="24"/>
          <w:szCs w:val="24"/>
          <w:shd w:val="clear" w:color="auto" w:fill="EFF1F3"/>
        </w:rPr>
        <w:t xml:space="preserve"> </w:t>
      </w:r>
      <w:proofErr w:type="spellStart"/>
      <w:r w:rsidRPr="007A516C">
        <w:rPr>
          <w:rFonts w:ascii="Arial" w:eastAsia="Calibri" w:hAnsi="Arial" w:cs="Arial"/>
          <w:i/>
          <w:sz w:val="24"/>
          <w:szCs w:val="24"/>
          <w:shd w:val="clear" w:color="auto" w:fill="EFF1F3"/>
        </w:rPr>
        <w:t>centred</w:t>
      </w:r>
      <w:proofErr w:type="spellEnd"/>
      <w:r w:rsidRPr="007A516C">
        <w:rPr>
          <w:rFonts w:ascii="Arial" w:eastAsia="Calibri" w:hAnsi="Arial" w:cs="Arial"/>
          <w:sz w:val="24"/>
          <w:szCs w:val="24"/>
          <w:shd w:val="clear" w:color="auto" w:fill="EFF1F3"/>
        </w:rPr>
        <w:t xml:space="preserve"> , in particolare per quanto attiene la mobilità, l’ attività fisica, la funzionalità in general</w:t>
      </w:r>
      <w:r w:rsidR="00483AFE" w:rsidRPr="007A516C">
        <w:rPr>
          <w:rFonts w:ascii="Arial" w:eastAsia="Calibri" w:hAnsi="Arial" w:cs="Arial"/>
          <w:sz w:val="24"/>
          <w:szCs w:val="24"/>
          <w:shd w:val="clear" w:color="auto" w:fill="EFF1F3"/>
        </w:rPr>
        <w:t>e fino alla qualità della vita</w:t>
      </w:r>
      <w:r w:rsidRPr="007A516C">
        <w:rPr>
          <w:rFonts w:ascii="Arial" w:eastAsia="Calibri" w:hAnsi="Arial" w:cs="Arial"/>
          <w:sz w:val="24"/>
          <w:szCs w:val="24"/>
          <w:shd w:val="clear" w:color="auto" w:fill="EFF1F3"/>
        </w:rPr>
        <w:t xml:space="preserve">; </w:t>
      </w:r>
      <w:r w:rsidR="00483AFE" w:rsidRPr="007A516C">
        <w:rPr>
          <w:rFonts w:ascii="Arial" w:eastAsia="Calibri" w:hAnsi="Arial" w:cs="Arial"/>
          <w:sz w:val="24"/>
          <w:szCs w:val="24"/>
          <w:shd w:val="clear" w:color="auto" w:fill="EFF1F3"/>
        </w:rPr>
        <w:t xml:space="preserve"> </w:t>
      </w:r>
      <w:r w:rsidRPr="007A516C">
        <w:rPr>
          <w:rFonts w:ascii="Arial" w:eastAsia="Calibri" w:hAnsi="Arial" w:cs="Arial"/>
          <w:sz w:val="24"/>
          <w:szCs w:val="24"/>
          <w:shd w:val="clear" w:color="auto" w:fill="EFF1F3"/>
        </w:rPr>
        <w:t xml:space="preserve">si ritiene però che la fragilità non sia parametro  adeguato a misurare gli </w:t>
      </w:r>
      <w:proofErr w:type="spellStart"/>
      <w:r w:rsidRPr="007A516C">
        <w:rPr>
          <w:rFonts w:ascii="Arial" w:eastAsia="Calibri" w:hAnsi="Arial" w:cs="Arial"/>
          <w:sz w:val="24"/>
          <w:szCs w:val="24"/>
          <w:shd w:val="clear" w:color="auto" w:fill="EFF1F3"/>
        </w:rPr>
        <w:t>outcome</w:t>
      </w:r>
      <w:proofErr w:type="spellEnd"/>
      <w:r w:rsidRPr="007A516C">
        <w:rPr>
          <w:rFonts w:ascii="Arial" w:eastAsia="Calibri" w:hAnsi="Arial" w:cs="Arial"/>
          <w:sz w:val="24"/>
          <w:szCs w:val="24"/>
          <w:shd w:val="clear" w:color="auto" w:fill="EFF1F3"/>
        </w:rPr>
        <w:t xml:space="preserve">  nella ricerca geriatrica (</w:t>
      </w:r>
      <w:proofErr w:type="spellStart"/>
      <w:r w:rsidRPr="007A516C">
        <w:rPr>
          <w:rFonts w:ascii="Arial" w:eastAsia="Calibri" w:hAnsi="Arial" w:cs="Arial"/>
          <w:sz w:val="24"/>
          <w:szCs w:val="24"/>
          <w:shd w:val="clear" w:color="auto" w:fill="EFF1F3"/>
        </w:rPr>
        <w:t>Ann</w:t>
      </w:r>
      <w:proofErr w:type="spellEnd"/>
      <w:r w:rsidRPr="007A516C">
        <w:rPr>
          <w:rFonts w:ascii="Arial" w:eastAsia="Calibri" w:hAnsi="Arial" w:cs="Arial"/>
          <w:sz w:val="24"/>
          <w:szCs w:val="24"/>
          <w:shd w:val="clear" w:color="auto" w:fill="EFF1F3"/>
        </w:rPr>
        <w:t xml:space="preserve"> </w:t>
      </w:r>
      <w:proofErr w:type="spellStart"/>
      <w:r w:rsidRPr="007A516C">
        <w:rPr>
          <w:rFonts w:ascii="Arial" w:eastAsia="Calibri" w:hAnsi="Arial" w:cs="Arial"/>
          <w:sz w:val="24"/>
          <w:szCs w:val="24"/>
          <w:shd w:val="clear" w:color="auto" w:fill="EFF1F3"/>
        </w:rPr>
        <w:t>Intern</w:t>
      </w:r>
      <w:proofErr w:type="spellEnd"/>
      <w:r w:rsidRPr="007A516C">
        <w:rPr>
          <w:rFonts w:ascii="Arial" w:eastAsia="Calibri" w:hAnsi="Arial" w:cs="Arial"/>
          <w:sz w:val="24"/>
          <w:szCs w:val="24"/>
          <w:shd w:val="clear" w:color="auto" w:fill="EFF1F3"/>
        </w:rPr>
        <w:t xml:space="preserve"> </w:t>
      </w:r>
      <w:proofErr w:type="spellStart"/>
      <w:r w:rsidR="00897B16" w:rsidRPr="007A516C">
        <w:rPr>
          <w:rFonts w:ascii="Arial" w:eastAsia="Calibri" w:hAnsi="Arial" w:cs="Arial"/>
          <w:sz w:val="24"/>
          <w:szCs w:val="24"/>
          <w:shd w:val="clear" w:color="auto" w:fill="EFF1F3"/>
        </w:rPr>
        <w:t>Med</w:t>
      </w:r>
      <w:proofErr w:type="spellEnd"/>
      <w:r w:rsidR="00897B16" w:rsidRPr="007A516C">
        <w:rPr>
          <w:rFonts w:ascii="Arial" w:eastAsia="Calibri" w:hAnsi="Arial" w:cs="Arial"/>
          <w:sz w:val="24"/>
          <w:szCs w:val="24"/>
          <w:shd w:val="clear" w:color="auto" w:fill="EFF1F3"/>
        </w:rPr>
        <w:t xml:space="preserve"> </w:t>
      </w:r>
      <w:r w:rsidRPr="007A516C">
        <w:rPr>
          <w:rFonts w:ascii="Arial" w:eastAsia="Calibri" w:hAnsi="Arial" w:cs="Arial"/>
          <w:sz w:val="24"/>
          <w:szCs w:val="24"/>
          <w:shd w:val="clear" w:color="auto" w:fill="EFF1F3"/>
        </w:rPr>
        <w:t>2018</w:t>
      </w:r>
      <w:r w:rsidR="00897B16" w:rsidRPr="007A516C">
        <w:rPr>
          <w:rFonts w:ascii="Arial" w:eastAsia="Calibri" w:hAnsi="Arial" w:cs="Arial"/>
          <w:sz w:val="24"/>
          <w:szCs w:val="24"/>
          <w:shd w:val="clear" w:color="auto" w:fill="EFF1F3"/>
        </w:rPr>
        <w:t xml:space="preserve"> allegato</w:t>
      </w:r>
      <w:r w:rsidRPr="007A516C">
        <w:rPr>
          <w:rFonts w:ascii="Arial" w:eastAsia="Calibri" w:hAnsi="Arial" w:cs="Arial"/>
          <w:sz w:val="24"/>
          <w:szCs w:val="24"/>
          <w:shd w:val="clear" w:color="auto" w:fill="EFF1F3"/>
        </w:rPr>
        <w:t>)</w:t>
      </w:r>
      <w:r w:rsidR="00897B16" w:rsidRPr="007A516C">
        <w:rPr>
          <w:rFonts w:ascii="Arial" w:eastAsia="Calibri" w:hAnsi="Arial" w:cs="Arial"/>
          <w:sz w:val="24"/>
          <w:szCs w:val="24"/>
          <w:shd w:val="clear" w:color="auto" w:fill="EFF1F3"/>
        </w:rPr>
        <w:t>.</w:t>
      </w:r>
    </w:p>
    <w:p w:rsidR="00D73254" w:rsidRPr="007A516C" w:rsidRDefault="00897B16" w:rsidP="005F6288">
      <w:pPr>
        <w:pStyle w:val="NormaleWeb"/>
        <w:shd w:val="clear" w:color="auto" w:fill="FFFFFF" w:themeFill="background1"/>
        <w:jc w:val="both"/>
        <w:rPr>
          <w:rFonts w:ascii="Arial" w:hAnsi="Arial" w:cs="Arial"/>
        </w:rPr>
      </w:pPr>
      <w:r w:rsidRPr="007A516C">
        <w:rPr>
          <w:rFonts w:ascii="Arial" w:hAnsi="Arial" w:cs="Arial"/>
        </w:rPr>
        <w:t>Le malattie cronich</w:t>
      </w:r>
      <w:r w:rsidR="00D12456" w:rsidRPr="007A516C">
        <w:rPr>
          <w:rFonts w:ascii="Arial" w:hAnsi="Arial" w:cs="Arial"/>
        </w:rPr>
        <w:t>e sono spesso responsabili di diminuzione della qualità d</w:t>
      </w:r>
      <w:r w:rsidRPr="007A516C">
        <w:rPr>
          <w:rFonts w:ascii="Arial" w:hAnsi="Arial" w:cs="Arial"/>
        </w:rPr>
        <w:t>e</w:t>
      </w:r>
      <w:r w:rsidR="00D12456" w:rsidRPr="007A516C">
        <w:rPr>
          <w:rFonts w:ascii="Arial" w:hAnsi="Arial" w:cs="Arial"/>
        </w:rPr>
        <w:t>lla vita, ridotta funzionalità e una delle cause più frequenti di morte (80% dei casi nei &gt; 65 anni in Europa):  il problema è come affrontarle dal punto</w:t>
      </w:r>
      <w:r w:rsidRPr="007A516C">
        <w:rPr>
          <w:rFonts w:ascii="Arial" w:hAnsi="Arial" w:cs="Arial"/>
        </w:rPr>
        <w:t xml:space="preserve"> </w:t>
      </w:r>
      <w:r w:rsidR="00D12456" w:rsidRPr="007A516C">
        <w:rPr>
          <w:rFonts w:ascii="Arial" w:hAnsi="Arial" w:cs="Arial"/>
        </w:rPr>
        <w:t xml:space="preserve">di vista terapeutico ed assistenziale   Si legge che fragilità e </w:t>
      </w:r>
      <w:proofErr w:type="spellStart"/>
      <w:r w:rsidR="00D12456" w:rsidRPr="007A516C">
        <w:rPr>
          <w:rFonts w:ascii="Arial" w:hAnsi="Arial" w:cs="Arial"/>
        </w:rPr>
        <w:t>multimorbilità</w:t>
      </w:r>
      <w:proofErr w:type="spellEnd"/>
      <w:r w:rsidR="00D12456" w:rsidRPr="007A516C">
        <w:rPr>
          <w:rFonts w:ascii="Arial" w:hAnsi="Arial" w:cs="Arial"/>
        </w:rPr>
        <w:t xml:space="preserve"> si riscontrano nel 42% della popo</w:t>
      </w:r>
      <w:r w:rsidR="00A27501" w:rsidRPr="007A516C">
        <w:rPr>
          <w:rFonts w:ascii="Arial" w:hAnsi="Arial" w:cs="Arial"/>
        </w:rPr>
        <w:t xml:space="preserve">lazione con </w:t>
      </w:r>
      <w:proofErr w:type="spellStart"/>
      <w:r w:rsidR="00A27501" w:rsidRPr="007A516C">
        <w:rPr>
          <w:rFonts w:ascii="Arial" w:hAnsi="Arial" w:cs="Arial"/>
        </w:rPr>
        <w:t>overlapping</w:t>
      </w:r>
      <w:proofErr w:type="spellEnd"/>
      <w:r w:rsidR="00A27501" w:rsidRPr="007A516C">
        <w:rPr>
          <w:rFonts w:ascii="Arial" w:hAnsi="Arial" w:cs="Arial"/>
        </w:rPr>
        <w:t xml:space="preserve"> frequent</w:t>
      </w:r>
      <w:r w:rsidR="00D12456" w:rsidRPr="007A516C">
        <w:rPr>
          <w:rFonts w:ascii="Arial" w:hAnsi="Arial" w:cs="Arial"/>
        </w:rPr>
        <w:t>e fra ADL e  problemi di mobilità e disabilità. Per tanto è importante disporre di trattamenti finalizzat</w:t>
      </w:r>
      <w:r w:rsidRPr="007A516C">
        <w:rPr>
          <w:rFonts w:ascii="Arial" w:hAnsi="Arial" w:cs="Arial"/>
        </w:rPr>
        <w:t>i alla rilevazione precoce, prev</w:t>
      </w:r>
      <w:r w:rsidR="00D12456" w:rsidRPr="007A516C">
        <w:rPr>
          <w:rFonts w:ascii="Arial" w:hAnsi="Arial" w:cs="Arial"/>
        </w:rPr>
        <w:t>enzione e trattamento della fragilità; per ora gli obiettivi della sanità nazione  si limitano alle malattie croniche (c’è un piano nazionale)</w:t>
      </w:r>
      <w:r w:rsidR="00D73254" w:rsidRPr="007A516C">
        <w:rPr>
          <w:rFonts w:ascii="Arial" w:hAnsi="Arial" w:cs="Arial"/>
        </w:rPr>
        <w:t>.</w:t>
      </w:r>
    </w:p>
    <w:p w:rsidR="00D73254" w:rsidRDefault="00D12456" w:rsidP="005F6288">
      <w:pPr>
        <w:pStyle w:val="NormaleWeb"/>
        <w:shd w:val="clear" w:color="auto" w:fill="FFFFFF" w:themeFill="background1"/>
        <w:jc w:val="both"/>
        <w:rPr>
          <w:rFonts w:ascii="Arial" w:hAnsi="Arial" w:cs="Arial"/>
        </w:rPr>
      </w:pPr>
      <w:r>
        <w:rPr>
          <w:rFonts w:ascii="Arial" w:hAnsi="Arial" w:cs="Arial"/>
        </w:rPr>
        <w:t>C’è cons</w:t>
      </w:r>
      <w:r w:rsidR="00691144">
        <w:rPr>
          <w:rFonts w:ascii="Arial" w:hAnsi="Arial" w:cs="Arial"/>
        </w:rPr>
        <w:t>enso sull’ approccio olistico alla fragilità e a</w:t>
      </w:r>
      <w:r>
        <w:rPr>
          <w:rFonts w:ascii="Arial" w:hAnsi="Arial" w:cs="Arial"/>
        </w:rPr>
        <w:t xml:space="preserve">lla </w:t>
      </w:r>
      <w:proofErr w:type="spellStart"/>
      <w:r>
        <w:rPr>
          <w:rFonts w:ascii="Arial" w:hAnsi="Arial" w:cs="Arial"/>
        </w:rPr>
        <w:t>mult</w:t>
      </w:r>
      <w:r w:rsidR="00691144">
        <w:rPr>
          <w:rFonts w:ascii="Arial" w:hAnsi="Arial" w:cs="Arial"/>
        </w:rPr>
        <w:t>i</w:t>
      </w:r>
      <w:r>
        <w:rPr>
          <w:rFonts w:ascii="Arial" w:hAnsi="Arial" w:cs="Arial"/>
        </w:rPr>
        <w:t>morbilità</w:t>
      </w:r>
      <w:proofErr w:type="spellEnd"/>
      <w:r>
        <w:rPr>
          <w:rFonts w:ascii="Arial" w:hAnsi="Arial" w:cs="Arial"/>
        </w:rPr>
        <w:t xml:space="preserve"> utilizzando strategie </w:t>
      </w:r>
      <w:proofErr w:type="spellStart"/>
      <w:r>
        <w:rPr>
          <w:rFonts w:ascii="Arial" w:hAnsi="Arial" w:cs="Arial"/>
        </w:rPr>
        <w:t>multiprofessionali</w:t>
      </w:r>
      <w:proofErr w:type="spellEnd"/>
      <w:r>
        <w:rPr>
          <w:rFonts w:ascii="Arial" w:hAnsi="Arial" w:cs="Arial"/>
        </w:rPr>
        <w:t>, integrate e continue</w:t>
      </w:r>
      <w:r w:rsidR="00691144">
        <w:rPr>
          <w:rFonts w:ascii="Arial" w:hAnsi="Arial" w:cs="Arial"/>
        </w:rPr>
        <w:t>,</w:t>
      </w:r>
      <w:r>
        <w:rPr>
          <w:rFonts w:ascii="Arial" w:hAnsi="Arial" w:cs="Arial"/>
        </w:rPr>
        <w:t xml:space="preserve"> soprattutto nei </w:t>
      </w:r>
      <w:proofErr w:type="spellStart"/>
      <w:r>
        <w:rPr>
          <w:rFonts w:ascii="Arial" w:hAnsi="Arial" w:cs="Arial"/>
        </w:rPr>
        <w:t>setting</w:t>
      </w:r>
      <w:proofErr w:type="spellEnd"/>
      <w:r>
        <w:rPr>
          <w:rFonts w:ascii="Arial" w:hAnsi="Arial" w:cs="Arial"/>
        </w:rPr>
        <w:t xml:space="preserve"> delle cure primarie ed intermedie.  La rilevazione della fragilità e della </w:t>
      </w:r>
      <w:proofErr w:type="spellStart"/>
      <w:r>
        <w:rPr>
          <w:rFonts w:ascii="Arial" w:hAnsi="Arial" w:cs="Arial"/>
        </w:rPr>
        <w:t>multimorbilità</w:t>
      </w:r>
      <w:proofErr w:type="spellEnd"/>
      <w:r>
        <w:rPr>
          <w:rFonts w:ascii="Arial" w:hAnsi="Arial" w:cs="Arial"/>
        </w:rPr>
        <w:t xml:space="preserve"> dovrebbe avvenire utilizzando i dati delle doc</w:t>
      </w:r>
      <w:bookmarkStart w:id="0" w:name="_GoBack"/>
      <w:bookmarkEnd w:id="0"/>
      <w:r>
        <w:rPr>
          <w:rFonts w:ascii="Arial" w:hAnsi="Arial" w:cs="Arial"/>
        </w:rPr>
        <w:t>umentazioni sanitar</w:t>
      </w:r>
      <w:r w:rsidR="00C55905">
        <w:rPr>
          <w:rFonts w:ascii="Arial" w:hAnsi="Arial" w:cs="Arial"/>
        </w:rPr>
        <w:t>ie (fascicolo sanitario elettron</w:t>
      </w:r>
      <w:r>
        <w:rPr>
          <w:rFonts w:ascii="Arial" w:hAnsi="Arial" w:cs="Arial"/>
        </w:rPr>
        <w:t>i</w:t>
      </w:r>
      <w:r w:rsidR="00C55905">
        <w:rPr>
          <w:rFonts w:ascii="Arial" w:hAnsi="Arial" w:cs="Arial"/>
        </w:rPr>
        <w:t>c</w:t>
      </w:r>
      <w:r>
        <w:rPr>
          <w:rFonts w:ascii="Arial" w:hAnsi="Arial" w:cs="Arial"/>
        </w:rPr>
        <w:t xml:space="preserve">o e cartella clinica informatizzata): ciò consentirebbe interventi precoci e preventivi e la verifica della loro </w:t>
      </w:r>
      <w:r w:rsidR="00897B16">
        <w:rPr>
          <w:rFonts w:ascii="Arial" w:hAnsi="Arial" w:cs="Arial"/>
        </w:rPr>
        <w:t>reale efficacia</w:t>
      </w:r>
      <w:r w:rsidR="0074474D">
        <w:rPr>
          <w:rFonts w:ascii="Arial" w:hAnsi="Arial" w:cs="Arial"/>
        </w:rPr>
        <w:t>.</w:t>
      </w:r>
      <w:r w:rsidR="00897B16">
        <w:rPr>
          <w:rFonts w:ascii="Arial" w:hAnsi="Arial" w:cs="Arial"/>
        </w:rPr>
        <w:t xml:space="preserve"> </w:t>
      </w:r>
    </w:p>
    <w:p w:rsidR="0074474D" w:rsidRDefault="00691144" w:rsidP="005F6288">
      <w:pPr>
        <w:pStyle w:val="NormaleWeb"/>
        <w:shd w:val="clear" w:color="auto" w:fill="FFFFFF" w:themeFill="background1"/>
        <w:jc w:val="both"/>
        <w:rPr>
          <w:rFonts w:ascii="Arial" w:hAnsi="Arial" w:cs="Arial"/>
        </w:rPr>
      </w:pPr>
      <w:r>
        <w:rPr>
          <w:rFonts w:ascii="Arial" w:hAnsi="Arial" w:cs="Arial"/>
        </w:rPr>
        <w:t xml:space="preserve">Oggi </w:t>
      </w:r>
      <w:r w:rsidR="0074474D">
        <w:rPr>
          <w:rFonts w:ascii="Arial" w:hAnsi="Arial" w:cs="Arial"/>
        </w:rPr>
        <w:t xml:space="preserve"> tanti anziani con </w:t>
      </w:r>
      <w:proofErr w:type="spellStart"/>
      <w:r w:rsidR="0074474D">
        <w:rPr>
          <w:rFonts w:ascii="Arial" w:hAnsi="Arial" w:cs="Arial"/>
        </w:rPr>
        <w:t>multipatologia</w:t>
      </w:r>
      <w:proofErr w:type="spellEnd"/>
      <w:r w:rsidR="0074474D">
        <w:rPr>
          <w:rFonts w:ascii="Arial" w:hAnsi="Arial" w:cs="Arial"/>
        </w:rPr>
        <w:t xml:space="preserve">, fragilità e disabilità </w:t>
      </w:r>
      <w:r>
        <w:rPr>
          <w:rFonts w:ascii="Arial" w:hAnsi="Arial" w:cs="Arial"/>
        </w:rPr>
        <w:t xml:space="preserve">sono </w:t>
      </w:r>
      <w:r w:rsidR="0074474D">
        <w:rPr>
          <w:rFonts w:ascii="Arial" w:hAnsi="Arial" w:cs="Arial"/>
        </w:rPr>
        <w:t>ospedalizzati per ricevere cure non raramente poco efficaci e mirate alle singole malattie croniche presenti. Le decisioni da prendere in questi casi sono complesse e riassunte nell’inserto c</w:t>
      </w:r>
      <w:r>
        <w:rPr>
          <w:rFonts w:ascii="Arial" w:hAnsi="Arial" w:cs="Arial"/>
        </w:rPr>
        <w:t xml:space="preserve">he segue che riporta </w:t>
      </w:r>
      <w:r w:rsidR="0074474D">
        <w:rPr>
          <w:rFonts w:ascii="Arial" w:hAnsi="Arial" w:cs="Arial"/>
        </w:rPr>
        <w:t xml:space="preserve"> suggerimenti per approfondire ed affrontare  finalmente il problema (</w:t>
      </w:r>
      <w:r w:rsidR="002E04E2">
        <w:rPr>
          <w:rFonts w:ascii="Arial" w:hAnsi="Arial" w:cs="Arial"/>
        </w:rPr>
        <w:t xml:space="preserve"> </w:t>
      </w:r>
      <w:proofErr w:type="spellStart"/>
      <w:r w:rsidR="002E04E2">
        <w:rPr>
          <w:rFonts w:ascii="Arial" w:hAnsi="Arial" w:cs="Arial"/>
        </w:rPr>
        <w:t>Ann</w:t>
      </w:r>
      <w:proofErr w:type="spellEnd"/>
      <w:r w:rsidR="002E04E2">
        <w:rPr>
          <w:rFonts w:ascii="Arial" w:hAnsi="Arial" w:cs="Arial"/>
        </w:rPr>
        <w:t xml:space="preserve"> </w:t>
      </w:r>
      <w:proofErr w:type="spellStart"/>
      <w:r w:rsidR="002E04E2">
        <w:rPr>
          <w:rFonts w:ascii="Arial" w:hAnsi="Arial" w:cs="Arial"/>
        </w:rPr>
        <w:t>Intern</w:t>
      </w:r>
      <w:proofErr w:type="spellEnd"/>
      <w:r w:rsidR="002E04E2">
        <w:rPr>
          <w:rFonts w:ascii="Arial" w:hAnsi="Arial" w:cs="Arial"/>
        </w:rPr>
        <w:t xml:space="preserve"> </w:t>
      </w:r>
      <w:proofErr w:type="spellStart"/>
      <w:r w:rsidR="002E04E2">
        <w:rPr>
          <w:rFonts w:ascii="Arial" w:hAnsi="Arial" w:cs="Arial"/>
        </w:rPr>
        <w:t>Med</w:t>
      </w:r>
      <w:proofErr w:type="spellEnd"/>
      <w:r w:rsidR="002E04E2">
        <w:rPr>
          <w:rFonts w:ascii="Arial" w:hAnsi="Arial" w:cs="Arial"/>
        </w:rPr>
        <w:t xml:space="preserve"> 2019; 170:199</w:t>
      </w:r>
      <w:r w:rsidR="00864806">
        <w:rPr>
          <w:rFonts w:ascii="Arial" w:hAnsi="Arial" w:cs="Arial"/>
        </w:rPr>
        <w:t xml:space="preserve"> )</w:t>
      </w:r>
      <w:r w:rsidR="009F1A3D">
        <w:rPr>
          <w:rFonts w:ascii="Arial" w:hAnsi="Arial" w:cs="Arial"/>
        </w:rPr>
        <w:t xml:space="preserve"> </w:t>
      </w:r>
      <w:r w:rsidR="009F1A3D" w:rsidRPr="009F1A3D">
        <w:rPr>
          <w:rFonts w:ascii="Arial" w:hAnsi="Arial" w:cs="Arial"/>
          <w:color w:val="FF0000"/>
        </w:rPr>
        <w:t>allegato 3</w:t>
      </w:r>
      <w:r w:rsidR="00864806" w:rsidRPr="009F1A3D">
        <w:rPr>
          <w:rFonts w:ascii="Arial" w:hAnsi="Arial" w:cs="Arial"/>
          <w:color w:val="FF0000"/>
        </w:rPr>
        <w:t xml:space="preserve"> </w:t>
      </w:r>
      <w:r w:rsidRPr="009F1A3D">
        <w:rPr>
          <w:rFonts w:ascii="Arial" w:hAnsi="Arial" w:cs="Arial"/>
          <w:color w:val="FF0000"/>
        </w:rPr>
        <w:t xml:space="preserve"> </w:t>
      </w:r>
      <w:r>
        <w:rPr>
          <w:rFonts w:ascii="Arial" w:hAnsi="Arial" w:cs="Arial"/>
        </w:rPr>
        <w:t xml:space="preserve">: vi troviamo </w:t>
      </w:r>
      <w:r w:rsidR="002E04E2">
        <w:rPr>
          <w:rFonts w:ascii="Arial" w:hAnsi="Arial" w:cs="Arial"/>
        </w:rPr>
        <w:t xml:space="preserve">elementi semplici come </w:t>
      </w:r>
      <w:proofErr w:type="spellStart"/>
      <w:r w:rsidR="002E04E2">
        <w:rPr>
          <w:rFonts w:ascii="Arial" w:hAnsi="Arial" w:cs="Arial"/>
        </w:rPr>
        <w:t>deprescrizione</w:t>
      </w:r>
      <w:proofErr w:type="spellEnd"/>
      <w:r w:rsidR="002E04E2">
        <w:rPr>
          <w:rFonts w:ascii="Arial" w:hAnsi="Arial" w:cs="Arial"/>
        </w:rPr>
        <w:t xml:space="preserve"> dei fa</w:t>
      </w:r>
      <w:r>
        <w:rPr>
          <w:rFonts w:ascii="Arial" w:hAnsi="Arial" w:cs="Arial"/>
        </w:rPr>
        <w:t>r</w:t>
      </w:r>
      <w:r w:rsidR="002E04E2">
        <w:rPr>
          <w:rFonts w:ascii="Arial" w:hAnsi="Arial" w:cs="Arial"/>
        </w:rPr>
        <w:t xml:space="preserve">maci, traiettoria dello stato funzionale e mentale, prognosi e speranza di vita, eventuale rapporto comunicativo con il paziente </w:t>
      </w:r>
      <w:r w:rsidR="005728D5">
        <w:rPr>
          <w:rFonts w:ascii="Arial" w:hAnsi="Arial" w:cs="Arial"/>
        </w:rPr>
        <w:t xml:space="preserve">(che ha delle priorità da soddisfare) </w:t>
      </w:r>
      <w:r w:rsidR="002E04E2">
        <w:rPr>
          <w:rFonts w:ascii="Arial" w:hAnsi="Arial" w:cs="Arial"/>
        </w:rPr>
        <w:t xml:space="preserve">e i </w:t>
      </w:r>
      <w:proofErr w:type="spellStart"/>
      <w:r w:rsidR="002E04E2">
        <w:rPr>
          <w:rFonts w:ascii="Arial" w:hAnsi="Arial" w:cs="Arial"/>
        </w:rPr>
        <w:t>caregivers</w:t>
      </w:r>
      <w:proofErr w:type="spellEnd"/>
      <w:r w:rsidR="002E04E2">
        <w:rPr>
          <w:rFonts w:ascii="Arial" w:hAnsi="Arial" w:cs="Arial"/>
        </w:rPr>
        <w:t>, ecc</w:t>
      </w:r>
      <w:r w:rsidR="008316F4">
        <w:rPr>
          <w:rFonts w:ascii="Arial" w:hAnsi="Arial" w:cs="Arial"/>
        </w:rPr>
        <w:t>. Queste tematiche dovrebbero essere inserite finalmente nei curricula dei corsi di laurea delle scuole di medicina.</w:t>
      </w:r>
      <w:r w:rsidR="00897B16">
        <w:rPr>
          <w:rFonts w:ascii="Arial" w:hAnsi="Arial" w:cs="Arial"/>
        </w:rPr>
        <w:t xml:space="preserve"> La documentazione sanitaria e soprattutto la cartel</w:t>
      </w:r>
      <w:r w:rsidR="007A516C">
        <w:rPr>
          <w:rFonts w:ascii="Arial" w:hAnsi="Arial" w:cs="Arial"/>
        </w:rPr>
        <w:t>la clinica ospedaliera dovrebbero  arricchirsi</w:t>
      </w:r>
      <w:r w:rsidR="00897B16">
        <w:rPr>
          <w:rFonts w:ascii="Arial" w:hAnsi="Arial" w:cs="Arial"/>
        </w:rPr>
        <w:t xml:space="preserve"> di rilevazioni che riguardano le prestazioni fisiche e mentali del paziente e anche la sua resilienza e qualità della vita.</w:t>
      </w:r>
    </w:p>
    <w:p w:rsidR="0074474D" w:rsidRDefault="0074474D" w:rsidP="00D73254">
      <w:pPr>
        <w:pStyle w:val="NormaleWeb"/>
        <w:shd w:val="clear" w:color="auto" w:fill="FFFFFF" w:themeFill="background1"/>
        <w:rPr>
          <w:rFonts w:ascii="Arial" w:hAnsi="Arial" w:cs="Arial"/>
        </w:rPr>
      </w:pPr>
      <w:r>
        <w:rPr>
          <w:rFonts w:ascii="Arial" w:hAnsi="Arial" w:cs="Arial"/>
          <w:noProof/>
        </w:rPr>
        <w:drawing>
          <wp:inline distT="0" distB="0" distL="0" distR="0">
            <wp:extent cx="6120130" cy="2547604"/>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547604"/>
                    </a:xfrm>
                    <a:prstGeom prst="rect">
                      <a:avLst/>
                    </a:prstGeom>
                    <a:noFill/>
                    <a:ln>
                      <a:noFill/>
                    </a:ln>
                  </pic:spPr>
                </pic:pic>
              </a:graphicData>
            </a:graphic>
          </wp:inline>
        </w:drawing>
      </w:r>
    </w:p>
    <w:p w:rsidR="00D12456" w:rsidRDefault="00D12456" w:rsidP="00D73254">
      <w:pPr>
        <w:pStyle w:val="NormaleWeb"/>
        <w:shd w:val="clear" w:color="auto" w:fill="FFFFFF" w:themeFill="background1"/>
        <w:rPr>
          <w:rFonts w:ascii="Arial" w:hAnsi="Arial" w:cs="Arial"/>
        </w:rPr>
      </w:pPr>
    </w:p>
    <w:p w:rsidR="00034724" w:rsidRDefault="00640B42" w:rsidP="00D73254">
      <w:pPr>
        <w:pStyle w:val="NormaleWeb"/>
        <w:shd w:val="clear" w:color="auto" w:fill="FFFFFF" w:themeFill="background1"/>
        <w:rPr>
          <w:rFonts w:ascii="Arial" w:hAnsi="Arial" w:cs="Arial"/>
        </w:rPr>
      </w:pPr>
      <w:r>
        <w:rPr>
          <w:rFonts w:ascii="Arial" w:hAnsi="Arial" w:cs="Arial"/>
        </w:rPr>
        <w:t xml:space="preserve">Gli sforzi per identificare, trattare e prevenire la fragilità dovrebbero avere come target gli individui di media età che </w:t>
      </w:r>
      <w:r w:rsidR="00846FEB">
        <w:rPr>
          <w:rFonts w:ascii="Arial" w:hAnsi="Arial" w:cs="Arial"/>
        </w:rPr>
        <w:t xml:space="preserve">già </w:t>
      </w:r>
      <w:r>
        <w:rPr>
          <w:rFonts w:ascii="Arial" w:hAnsi="Arial" w:cs="Arial"/>
        </w:rPr>
        <w:t xml:space="preserve">presentano </w:t>
      </w:r>
      <w:proofErr w:type="spellStart"/>
      <w:r>
        <w:rPr>
          <w:rFonts w:ascii="Arial" w:hAnsi="Arial" w:cs="Arial"/>
        </w:rPr>
        <w:t>multimorbilità</w:t>
      </w:r>
      <w:proofErr w:type="spellEnd"/>
      <w:r>
        <w:rPr>
          <w:rFonts w:ascii="Arial" w:hAnsi="Arial" w:cs="Arial"/>
        </w:rPr>
        <w:t xml:space="preserve">; in questi la fragilità è </w:t>
      </w:r>
    </w:p>
    <w:p w:rsidR="00034724" w:rsidRDefault="00034724" w:rsidP="00D73254">
      <w:pPr>
        <w:pStyle w:val="NormaleWeb"/>
        <w:shd w:val="clear" w:color="auto" w:fill="FFFFFF" w:themeFill="background1"/>
        <w:rPr>
          <w:rFonts w:ascii="Arial" w:hAnsi="Arial" w:cs="Arial"/>
        </w:rPr>
      </w:pPr>
      <w:r>
        <w:rPr>
          <w:rFonts w:ascii="Arial" w:hAnsi="Arial" w:cs="Arial"/>
          <w:noProof/>
        </w:rPr>
        <w:drawing>
          <wp:inline distT="0" distB="0" distL="0" distR="0">
            <wp:extent cx="3167212" cy="3348000"/>
            <wp:effectExtent l="0" t="0" r="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7212" cy="3348000"/>
                    </a:xfrm>
                    <a:prstGeom prst="rect">
                      <a:avLst/>
                    </a:prstGeom>
                    <a:noFill/>
                    <a:ln>
                      <a:noFill/>
                    </a:ln>
                  </pic:spPr>
                </pic:pic>
              </a:graphicData>
            </a:graphic>
          </wp:inline>
        </w:drawing>
      </w:r>
    </w:p>
    <w:p w:rsidR="00640B42" w:rsidRPr="00D12456" w:rsidRDefault="00640B42" w:rsidP="00D73254">
      <w:pPr>
        <w:pStyle w:val="NormaleWeb"/>
        <w:shd w:val="clear" w:color="auto" w:fill="FFFFFF" w:themeFill="background1"/>
        <w:rPr>
          <w:rFonts w:ascii="Arial" w:hAnsi="Arial" w:cs="Arial"/>
        </w:rPr>
      </w:pPr>
      <w:r>
        <w:rPr>
          <w:rFonts w:ascii="Arial" w:hAnsi="Arial" w:cs="Arial"/>
        </w:rPr>
        <w:t>significativamente associata alla mortalità.</w:t>
      </w:r>
      <w:r w:rsidR="00034724">
        <w:rPr>
          <w:rFonts w:ascii="Arial" w:hAnsi="Arial" w:cs="Arial"/>
        </w:rPr>
        <w:t xml:space="preserve"> Si osservi </w:t>
      </w:r>
      <w:r w:rsidR="00864806">
        <w:rPr>
          <w:rFonts w:ascii="Arial" w:hAnsi="Arial" w:cs="Arial"/>
        </w:rPr>
        <w:t xml:space="preserve">nella figura la </w:t>
      </w:r>
      <w:r w:rsidR="00034724">
        <w:rPr>
          <w:rFonts w:ascii="Arial" w:hAnsi="Arial" w:cs="Arial"/>
        </w:rPr>
        <w:t xml:space="preserve"> relazione</w:t>
      </w:r>
      <w:r w:rsidR="00864806">
        <w:rPr>
          <w:rFonts w:ascii="Arial" w:hAnsi="Arial" w:cs="Arial"/>
        </w:rPr>
        <w:t xml:space="preserve"> fra </w:t>
      </w:r>
      <w:r w:rsidR="00034724">
        <w:rPr>
          <w:rFonts w:ascii="Arial" w:hAnsi="Arial" w:cs="Arial"/>
        </w:rPr>
        <w:t xml:space="preserve"> la f</w:t>
      </w:r>
      <w:r w:rsidR="00864806">
        <w:rPr>
          <w:rFonts w:ascii="Arial" w:hAnsi="Arial" w:cs="Arial"/>
        </w:rPr>
        <w:t xml:space="preserve">ragilità e la </w:t>
      </w:r>
      <w:proofErr w:type="spellStart"/>
      <w:r w:rsidR="00864806">
        <w:rPr>
          <w:rFonts w:ascii="Arial" w:hAnsi="Arial" w:cs="Arial"/>
        </w:rPr>
        <w:t>pre</w:t>
      </w:r>
      <w:proofErr w:type="spellEnd"/>
      <w:r w:rsidR="00864806">
        <w:rPr>
          <w:rFonts w:ascii="Arial" w:hAnsi="Arial" w:cs="Arial"/>
        </w:rPr>
        <w:t xml:space="preserve">-fragilità e </w:t>
      </w:r>
      <w:r w:rsidR="00034724">
        <w:rPr>
          <w:rFonts w:ascii="Arial" w:hAnsi="Arial" w:cs="Arial"/>
        </w:rPr>
        <w:t>il numero delle condizioni patologiche long-</w:t>
      </w:r>
      <w:proofErr w:type="spellStart"/>
      <w:r w:rsidR="00034724">
        <w:rPr>
          <w:rFonts w:ascii="Arial" w:hAnsi="Arial" w:cs="Arial"/>
        </w:rPr>
        <w:t>term</w:t>
      </w:r>
      <w:proofErr w:type="spellEnd"/>
      <w:r w:rsidR="00034724">
        <w:rPr>
          <w:rFonts w:ascii="Arial" w:hAnsi="Arial" w:cs="Arial"/>
        </w:rPr>
        <w:t xml:space="preserve">. </w:t>
      </w:r>
      <w:r>
        <w:rPr>
          <w:rFonts w:ascii="Arial" w:hAnsi="Arial" w:cs="Arial"/>
        </w:rPr>
        <w:t xml:space="preserve"> E’ tempo che la ricerca e anche la medicina pratica con i</w:t>
      </w:r>
      <w:r w:rsidR="00034724">
        <w:rPr>
          <w:rFonts w:ascii="Arial" w:hAnsi="Arial" w:cs="Arial"/>
        </w:rPr>
        <w:t xml:space="preserve"> </w:t>
      </w:r>
      <w:r>
        <w:rPr>
          <w:rFonts w:ascii="Arial" w:hAnsi="Arial" w:cs="Arial"/>
        </w:rPr>
        <w:t xml:space="preserve">suoi servizi spostino il loro interesse dalla malattia singola alla </w:t>
      </w:r>
      <w:proofErr w:type="spellStart"/>
      <w:r>
        <w:rPr>
          <w:rFonts w:ascii="Arial" w:hAnsi="Arial" w:cs="Arial"/>
        </w:rPr>
        <w:t>multipatologia</w:t>
      </w:r>
      <w:proofErr w:type="spellEnd"/>
      <w:r>
        <w:rPr>
          <w:rFonts w:ascii="Arial" w:hAnsi="Arial" w:cs="Arial"/>
        </w:rPr>
        <w:t xml:space="preserve"> presente in un numero crescente di anziani (Lancet </w:t>
      </w:r>
      <w:r w:rsidR="00034724">
        <w:rPr>
          <w:rFonts w:ascii="Arial" w:hAnsi="Arial" w:cs="Arial"/>
        </w:rPr>
        <w:t xml:space="preserve">Public </w:t>
      </w:r>
      <w:proofErr w:type="spellStart"/>
      <w:r w:rsidR="00034724">
        <w:rPr>
          <w:rFonts w:ascii="Arial" w:hAnsi="Arial" w:cs="Arial"/>
        </w:rPr>
        <w:t>Health</w:t>
      </w:r>
      <w:proofErr w:type="spellEnd"/>
      <w:r w:rsidR="00034724">
        <w:rPr>
          <w:rFonts w:ascii="Arial" w:hAnsi="Arial" w:cs="Arial"/>
        </w:rPr>
        <w:t xml:space="preserve"> 2018; 3: e 323-332)</w:t>
      </w:r>
    </w:p>
    <w:p w:rsidR="008774D0" w:rsidRPr="00C55905" w:rsidRDefault="008774D0" w:rsidP="00345F97">
      <w:pPr>
        <w:pStyle w:val="NormaleWeb"/>
        <w:shd w:val="clear" w:color="auto" w:fill="FFFFFF" w:themeFill="background1"/>
        <w:rPr>
          <w:rFonts w:ascii="Arial" w:hAnsi="Arial" w:cs="Arial"/>
        </w:rPr>
      </w:pPr>
    </w:p>
    <w:p w:rsidR="008774D0" w:rsidRPr="00C55905" w:rsidRDefault="008774D0" w:rsidP="00345F97">
      <w:pPr>
        <w:pStyle w:val="NormaleWeb"/>
        <w:shd w:val="clear" w:color="auto" w:fill="FFFFFF" w:themeFill="background1"/>
        <w:rPr>
          <w:rFonts w:ascii="Arial" w:hAnsi="Arial" w:cs="Arial"/>
        </w:rPr>
      </w:pPr>
    </w:p>
    <w:p w:rsidR="008774D0" w:rsidRPr="00C55905" w:rsidRDefault="008774D0" w:rsidP="00345F97">
      <w:pPr>
        <w:shd w:val="clear" w:color="auto" w:fill="FFFFFF" w:themeFill="background1"/>
        <w:rPr>
          <w:rFonts w:ascii="Arial" w:hAnsi="Arial" w:cs="Arial"/>
          <w:sz w:val="24"/>
          <w:szCs w:val="24"/>
        </w:rPr>
      </w:pPr>
    </w:p>
    <w:p w:rsidR="008774D0" w:rsidRPr="00C55905" w:rsidRDefault="008774D0" w:rsidP="00345F97">
      <w:pPr>
        <w:shd w:val="clear" w:color="auto" w:fill="FFFFFF" w:themeFill="background1"/>
        <w:rPr>
          <w:rFonts w:ascii="Arial" w:hAnsi="Arial" w:cs="Arial"/>
          <w:sz w:val="24"/>
          <w:szCs w:val="24"/>
        </w:rPr>
      </w:pPr>
    </w:p>
    <w:sectPr w:rsidR="008774D0" w:rsidRPr="00C559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C04C0"/>
    <w:multiLevelType w:val="multilevel"/>
    <w:tmpl w:val="B8228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A0"/>
    <w:rsid w:val="00034724"/>
    <w:rsid w:val="00067F68"/>
    <w:rsid w:val="000728ED"/>
    <w:rsid w:val="000F4E1D"/>
    <w:rsid w:val="00126C79"/>
    <w:rsid w:val="00153D31"/>
    <w:rsid w:val="001853D2"/>
    <w:rsid w:val="00196A91"/>
    <w:rsid w:val="001D26B6"/>
    <w:rsid w:val="00211CCB"/>
    <w:rsid w:val="00264406"/>
    <w:rsid w:val="002A1D70"/>
    <w:rsid w:val="002D55D8"/>
    <w:rsid w:val="002E04E2"/>
    <w:rsid w:val="00306752"/>
    <w:rsid w:val="003119B5"/>
    <w:rsid w:val="00345F97"/>
    <w:rsid w:val="00483AFE"/>
    <w:rsid w:val="004B3DA3"/>
    <w:rsid w:val="004D7986"/>
    <w:rsid w:val="00523F94"/>
    <w:rsid w:val="00565AE4"/>
    <w:rsid w:val="005728D5"/>
    <w:rsid w:val="005A1896"/>
    <w:rsid w:val="005E6B08"/>
    <w:rsid w:val="005F6288"/>
    <w:rsid w:val="00640B42"/>
    <w:rsid w:val="0065350E"/>
    <w:rsid w:val="00691144"/>
    <w:rsid w:val="0074474D"/>
    <w:rsid w:val="00765DEE"/>
    <w:rsid w:val="007A516C"/>
    <w:rsid w:val="007B473D"/>
    <w:rsid w:val="008316F4"/>
    <w:rsid w:val="00846FEB"/>
    <w:rsid w:val="00864806"/>
    <w:rsid w:val="008774D0"/>
    <w:rsid w:val="008849B1"/>
    <w:rsid w:val="00897B16"/>
    <w:rsid w:val="008C623D"/>
    <w:rsid w:val="008D0999"/>
    <w:rsid w:val="00992928"/>
    <w:rsid w:val="009F1A3D"/>
    <w:rsid w:val="00A27501"/>
    <w:rsid w:val="00A5620E"/>
    <w:rsid w:val="00B06195"/>
    <w:rsid w:val="00B61656"/>
    <w:rsid w:val="00B904E7"/>
    <w:rsid w:val="00BB75A0"/>
    <w:rsid w:val="00BE2CF0"/>
    <w:rsid w:val="00C42741"/>
    <w:rsid w:val="00C55905"/>
    <w:rsid w:val="00CD1224"/>
    <w:rsid w:val="00D12456"/>
    <w:rsid w:val="00D73254"/>
    <w:rsid w:val="00D76C2D"/>
    <w:rsid w:val="00DB32AC"/>
    <w:rsid w:val="00DE3D6E"/>
    <w:rsid w:val="00DF6896"/>
    <w:rsid w:val="00E836B8"/>
    <w:rsid w:val="00F47309"/>
    <w:rsid w:val="00F846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3F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F94"/>
    <w:rPr>
      <w:rFonts w:ascii="Tahoma" w:hAnsi="Tahoma" w:cs="Tahoma"/>
      <w:sz w:val="16"/>
      <w:szCs w:val="16"/>
    </w:rPr>
  </w:style>
  <w:style w:type="paragraph" w:styleId="NormaleWeb">
    <w:name w:val="Normal (Web)"/>
    <w:basedOn w:val="Normale"/>
    <w:semiHidden/>
    <w:unhideWhenUsed/>
    <w:rsid w:val="008774D0"/>
    <w:pPr>
      <w:suppressAutoHyphens/>
      <w:spacing w:after="4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904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3F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F94"/>
    <w:rPr>
      <w:rFonts w:ascii="Tahoma" w:hAnsi="Tahoma" w:cs="Tahoma"/>
      <w:sz w:val="16"/>
      <w:szCs w:val="16"/>
    </w:rPr>
  </w:style>
  <w:style w:type="paragraph" w:styleId="NormaleWeb">
    <w:name w:val="Normal (Web)"/>
    <w:basedOn w:val="Normale"/>
    <w:semiHidden/>
    <w:unhideWhenUsed/>
    <w:rsid w:val="008774D0"/>
    <w:pPr>
      <w:suppressAutoHyphens/>
      <w:spacing w:after="4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90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8223">
      <w:bodyDiv w:val="1"/>
      <w:marLeft w:val="0"/>
      <w:marRight w:val="0"/>
      <w:marTop w:val="0"/>
      <w:marBottom w:val="0"/>
      <w:divBdr>
        <w:top w:val="none" w:sz="0" w:space="0" w:color="auto"/>
        <w:left w:val="none" w:sz="0" w:space="0" w:color="auto"/>
        <w:bottom w:val="none" w:sz="0" w:space="0" w:color="auto"/>
        <w:right w:val="none" w:sz="0" w:space="0" w:color="auto"/>
      </w:divBdr>
    </w:div>
    <w:div w:id="933441727">
      <w:bodyDiv w:val="1"/>
      <w:marLeft w:val="0"/>
      <w:marRight w:val="0"/>
      <w:marTop w:val="0"/>
      <w:marBottom w:val="0"/>
      <w:divBdr>
        <w:top w:val="none" w:sz="0" w:space="0" w:color="auto"/>
        <w:left w:val="none" w:sz="0" w:space="0" w:color="auto"/>
        <w:bottom w:val="none" w:sz="0" w:space="0" w:color="auto"/>
        <w:right w:val="none" w:sz="0" w:space="0" w:color="auto"/>
      </w:divBdr>
    </w:div>
    <w:div w:id="1682394772">
      <w:bodyDiv w:val="1"/>
      <w:marLeft w:val="0"/>
      <w:marRight w:val="0"/>
      <w:marTop w:val="0"/>
      <w:marBottom w:val="0"/>
      <w:divBdr>
        <w:top w:val="none" w:sz="0" w:space="0" w:color="auto"/>
        <w:left w:val="none" w:sz="0" w:space="0" w:color="auto"/>
        <w:bottom w:val="none" w:sz="0" w:space="0" w:color="auto"/>
        <w:right w:val="none" w:sz="0" w:space="0" w:color="auto"/>
      </w:divBdr>
    </w:div>
    <w:div w:id="20435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ac.uk/population-health-sciences/projects/3d-study/" TargetMode="External"/><Relationship Id="rId3" Type="http://schemas.openxmlformats.org/officeDocument/2006/relationships/styles" Target="styles.xml"/><Relationship Id="rId7" Type="http://schemas.openxmlformats.org/officeDocument/2006/relationships/hyperlink" Target="https://www.sciencedirect.com/topics/medicine-and-dentistry/adverse-outcom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311B-5A32-4292-8EA2-C4FCACC6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2189</Words>
  <Characters>12482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3</cp:revision>
  <dcterms:created xsi:type="dcterms:W3CDTF">2019-02-14T07:08:00Z</dcterms:created>
  <dcterms:modified xsi:type="dcterms:W3CDTF">2019-02-14T07:09:00Z</dcterms:modified>
</cp:coreProperties>
</file>