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4" w:rsidRPr="000B7694" w:rsidRDefault="00ED22D4">
      <w:pPr>
        <w:rPr>
          <w:b/>
          <w:sz w:val="28"/>
          <w:szCs w:val="28"/>
        </w:rPr>
      </w:pPr>
      <w:r w:rsidRPr="000B7694">
        <w:rPr>
          <w:b/>
          <w:sz w:val="28"/>
          <w:szCs w:val="28"/>
        </w:rPr>
        <w:t xml:space="preserve">La didattica e la formazione dei futuri medici </w:t>
      </w:r>
      <w:r w:rsidR="00663804" w:rsidRPr="000B7694">
        <w:rPr>
          <w:b/>
          <w:sz w:val="28"/>
          <w:szCs w:val="28"/>
        </w:rPr>
        <w:t>: la Geriatria continuerà ad essere la cenerentola ?</w:t>
      </w:r>
    </w:p>
    <w:p w:rsidR="00ED22D4" w:rsidRDefault="000B7694" w:rsidP="000B7694">
      <w:pPr>
        <w:jc w:val="both"/>
      </w:pPr>
      <w:r>
        <w:t>Il  curriculum  del</w:t>
      </w:r>
      <w:r w:rsidR="00ED22D4">
        <w:t>la laurea in medicina e chirurgia è alquanto obsol</w:t>
      </w:r>
      <w:r w:rsidR="00663804">
        <w:t xml:space="preserve">eto e non tiene conto </w:t>
      </w:r>
      <w:r w:rsidR="00ED22D4">
        <w:t xml:space="preserve"> delle modificazione epidemiologiche e demografiche degli ultimi decenni. </w:t>
      </w:r>
    </w:p>
    <w:p w:rsidR="00A93DB5" w:rsidRDefault="00663804" w:rsidP="000B7694">
      <w:pPr>
        <w:jc w:val="both"/>
      </w:pPr>
      <w:r>
        <w:t>A Modena ci sono due grandi ospedali</w:t>
      </w:r>
      <w:r w:rsidR="00D96271">
        <w:t xml:space="preserve">: </w:t>
      </w:r>
      <w:r>
        <w:t xml:space="preserve">la </w:t>
      </w:r>
      <w:r w:rsidR="000B7694">
        <w:t xml:space="preserve"> G</w:t>
      </w:r>
      <w:r w:rsidR="00D96271">
        <w:t xml:space="preserve">eriatria è soltanto al NOCSAE e non si capisce </w:t>
      </w:r>
      <w:proofErr w:type="spellStart"/>
      <w:r w:rsidR="00D96271">
        <w:t>perchè</w:t>
      </w:r>
      <w:proofErr w:type="spellEnd"/>
      <w:r w:rsidR="00D96271">
        <w:t xml:space="preserve"> dal momento che la </w:t>
      </w:r>
      <w:r w:rsidR="000A3EC7">
        <w:t xml:space="preserve">medicina interna è presente  in ambedue i poli e i degenti sono  in gran parte anziani come </w:t>
      </w:r>
      <w:r w:rsidR="00C9331C">
        <w:t xml:space="preserve">risulta anche </w:t>
      </w:r>
      <w:r w:rsidR="000A3EC7">
        <w:t xml:space="preserve">a livello nazionale. </w:t>
      </w:r>
      <w:r w:rsidR="00A93DB5">
        <w:t>La figura ISTAT evidenzia l’ enorme numero di anziani ricoverati: si noti il picco delle femmine &gt; 90 anni !</w:t>
      </w:r>
      <w:bookmarkStart w:id="0" w:name="_GoBack"/>
      <w:bookmarkEnd w:id="0"/>
    </w:p>
    <w:p w:rsidR="000A3EC7" w:rsidRDefault="000A3EC7" w:rsidP="000B7694">
      <w:pPr>
        <w:jc w:val="both"/>
      </w:pPr>
      <w:r>
        <w:t xml:space="preserve">     </w:t>
      </w:r>
      <w:r>
        <w:rPr>
          <w:noProof/>
          <w:lang w:eastAsia="it-IT"/>
        </w:rPr>
        <w:drawing>
          <wp:inline distT="0" distB="0" distL="0" distR="0" wp14:anchorId="4C934B00" wp14:editId="49B12401">
            <wp:extent cx="3884946" cy="2916000"/>
            <wp:effectExtent l="0" t="0" r="127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46" cy="29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7BE4" w:rsidRDefault="00E27BE4" w:rsidP="00663804">
      <w:r>
        <w:t>In Emilia-Romagna la situazione della popolazi</w:t>
      </w:r>
      <w:r w:rsidR="000B7694">
        <w:t>one anziana è riassunta nella tabella sotto, ma nella realtà sanitaria e nelle decisioni anche didattiche se ne tiene conto ben poco.</w:t>
      </w:r>
      <w:r w:rsidR="005B77BA">
        <w:t xml:space="preserve"> La </w:t>
      </w:r>
      <w:proofErr w:type="spellStart"/>
      <w:r w:rsidR="005B77BA">
        <w:t>multimorbilità</w:t>
      </w:r>
      <w:proofErr w:type="spellEnd"/>
      <w:r w:rsidR="005B77BA">
        <w:t xml:space="preserve"> è troppo spesso ignorata come la fragilità e lo stato cognitivo (compreso il delirium).</w:t>
      </w:r>
    </w:p>
    <w:p w:rsidR="00E27BE4" w:rsidRDefault="00E27BE4" w:rsidP="00663804">
      <w:r>
        <w:rPr>
          <w:noProof/>
          <w:lang w:eastAsia="it-IT"/>
        </w:rPr>
        <w:drawing>
          <wp:inline distT="0" distB="0" distL="0" distR="0" wp14:anchorId="52AA459C" wp14:editId="693D667C">
            <wp:extent cx="2543870" cy="1908000"/>
            <wp:effectExtent l="0" t="0" r="889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70" cy="19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6271" w:rsidRDefault="00BB601B">
      <w:r>
        <w:t xml:space="preserve">Il </w:t>
      </w:r>
      <w:r w:rsidR="000A3EC7">
        <w:t>P</w:t>
      </w:r>
      <w:r w:rsidR="00663804">
        <w:t xml:space="preserve">ronto soccorso tanto utilizzato dagli anziani è </w:t>
      </w:r>
      <w:r w:rsidR="000A3EC7">
        <w:t xml:space="preserve">presente </w:t>
      </w:r>
      <w:r w:rsidR="00663804">
        <w:t>nei due poli; ma solo  al NOCSAE c’</w:t>
      </w:r>
      <w:r w:rsidR="00C9331C">
        <w:t>è la G</w:t>
      </w:r>
      <w:r w:rsidR="00663804">
        <w:t>eriatria.</w:t>
      </w:r>
      <w:r w:rsidR="00D96271">
        <w:t xml:space="preserve"> </w:t>
      </w:r>
      <w:r w:rsidR="00663804">
        <w:t xml:space="preserve">Ma </w:t>
      </w:r>
      <w:r w:rsidR="000A3EC7">
        <w:t xml:space="preserve"> il PS </w:t>
      </w:r>
      <w:r>
        <w:t xml:space="preserve">del </w:t>
      </w:r>
      <w:r w:rsidR="000A3EC7">
        <w:t xml:space="preserve">NOCSAE di II livello non </w:t>
      </w:r>
      <w:r w:rsidR="00663804">
        <w:t>ha caratteristiche operative per accogliere adeguatamente gli an</w:t>
      </w:r>
      <w:r w:rsidR="000A3EC7">
        <w:t>ziani con sin</w:t>
      </w:r>
      <w:r w:rsidR="00663804">
        <w:t>dromi geriatriche, fragilità</w:t>
      </w:r>
      <w:r w:rsidR="000B7694">
        <w:t>-disabilità</w:t>
      </w:r>
      <w:r w:rsidR="00663804">
        <w:t xml:space="preserve"> e presentazione spesso atip</w:t>
      </w:r>
      <w:r>
        <w:t>ica delle malattie tradizionali: ha altri obiettivi.</w:t>
      </w:r>
    </w:p>
    <w:p w:rsidR="00BB601B" w:rsidRDefault="000A3EC7">
      <w:r>
        <w:lastRenderedPageBreak/>
        <w:t xml:space="preserve">Servirebbero </w:t>
      </w:r>
      <w:r w:rsidR="000B7694">
        <w:t xml:space="preserve">(a mio parere) </w:t>
      </w:r>
      <w:r>
        <w:t>p</w:t>
      </w:r>
      <w:r w:rsidR="00D96271">
        <w:t xml:space="preserve">roposte </w:t>
      </w:r>
      <w:r w:rsidR="00BB601B">
        <w:t xml:space="preserve">di carattere ospedaliero-organizzativo, </w:t>
      </w:r>
      <w:r>
        <w:t xml:space="preserve"> innovative </w:t>
      </w:r>
      <w:r w:rsidR="00D96271">
        <w:t xml:space="preserve"> </w:t>
      </w:r>
      <w:r w:rsidR="00BB601B">
        <w:t xml:space="preserve">e </w:t>
      </w:r>
      <w:r w:rsidR="00D96271">
        <w:t>connesse alla didatt</w:t>
      </w:r>
      <w:r>
        <w:t xml:space="preserve">ica e </w:t>
      </w:r>
      <w:r w:rsidR="00BB601B">
        <w:t xml:space="preserve">alla </w:t>
      </w:r>
      <w:r>
        <w:t xml:space="preserve">formazione specialistica </w:t>
      </w:r>
      <w:r w:rsidR="00D96271">
        <w:t>della</w:t>
      </w:r>
      <w:r>
        <w:t xml:space="preserve"> </w:t>
      </w:r>
      <w:r w:rsidR="00BB601B">
        <w:t xml:space="preserve">Medicina geriatrica e anche di altre discipline ampiamente presenti nel curriculum </w:t>
      </w:r>
      <w:r>
        <w:t xml:space="preserve">dei corsi di laurea della Scuola di medicina di </w:t>
      </w:r>
      <w:proofErr w:type="spellStart"/>
      <w:r>
        <w:t>unimore</w:t>
      </w:r>
      <w:proofErr w:type="spellEnd"/>
      <w:r>
        <w:t>.</w:t>
      </w:r>
      <w:r w:rsidR="006B327E">
        <w:t xml:space="preserve">  </w:t>
      </w:r>
      <w:r>
        <w:t xml:space="preserve"> Il Policlinico è la sede  più importante dei C</w:t>
      </w:r>
      <w:r w:rsidR="00D96271">
        <w:t>orsi di laurea della scuola di Medicina comprese le scuole di specializzazione che sono tante e non poche c</w:t>
      </w:r>
      <w:r w:rsidR="000B7694">
        <w:t>on aspetti geriatrici rilevanti.</w:t>
      </w:r>
    </w:p>
    <w:p w:rsidR="000B4F98" w:rsidRPr="000B4F98" w:rsidRDefault="00BB601B" w:rsidP="00A93DB5">
      <w:pPr>
        <w:shd w:val="clear" w:color="auto" w:fill="FFFFFF"/>
        <w:jc w:val="both"/>
        <w:rPr>
          <w:rFonts w:ascii="Helvetica" w:eastAsia="Times New Roman" w:hAnsi="Helvetica" w:cs="Helvetica"/>
          <w:color w:val="222222"/>
          <w:sz w:val="19"/>
          <w:szCs w:val="19"/>
          <w:lang w:eastAsia="it-IT"/>
        </w:rPr>
      </w:pPr>
      <w:r>
        <w:t>Gli anziani occupano molti letti degli ospedali: è ben noto che l’ ospedalizzazione comporta nel 40% dei casi declino funzionale e la probabilità elevata di essere di nuovo ricoverato; anche il solo accesso al PS rappresenta un rischio di declini funzionale per l’ anziano (</w:t>
      </w:r>
      <w:proofErr w:type="spellStart"/>
      <w:r>
        <w:t>Ann</w:t>
      </w:r>
      <w:proofErr w:type="spellEnd"/>
      <w:r>
        <w:t xml:space="preserve"> </w:t>
      </w:r>
      <w:proofErr w:type="spellStart"/>
      <w:r>
        <w:t>Emerg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2017; 69: 426).</w:t>
      </w:r>
      <w:r w:rsidR="00D96271">
        <w:t xml:space="preserve"> </w:t>
      </w:r>
      <w:r w:rsidR="000B4F98">
        <w:t xml:space="preserve">Il concetto che l’ ospedale non sia spesso il </w:t>
      </w:r>
      <w:proofErr w:type="spellStart"/>
      <w:r w:rsidR="000B4F98">
        <w:t>setting</w:t>
      </w:r>
      <w:proofErr w:type="spellEnd"/>
      <w:r w:rsidR="000B4F98">
        <w:t xml:space="preserve"> più appropriato per gli anziani  fragili deve essere seriamente tenuto presente ed avere un riscontro anche nella didattica. </w:t>
      </w:r>
      <w:r>
        <w:t xml:space="preserve">Anche se un tempestivo intervento fisioterapico riduce l’ impatto negativo della ospedalizzazione dell’ anziano,  si dovrebbe </w:t>
      </w:r>
      <w:r w:rsidR="000C686B">
        <w:t xml:space="preserve"> organizzare un modulo didattico-formativo </w:t>
      </w:r>
      <w:r w:rsidR="000B4F98">
        <w:t xml:space="preserve">per gli studenti dei corsi di laurea della scuola di medicina su questi temi : a. il giusto intervento al momento giusto e nel </w:t>
      </w:r>
      <w:proofErr w:type="spellStart"/>
      <w:r w:rsidR="000B4F98">
        <w:t>setting</w:t>
      </w:r>
      <w:proofErr w:type="spellEnd"/>
      <w:r w:rsidR="000B4F98">
        <w:t xml:space="preserve"> più adatto ai bisogni del paziente; b. attivazione previa preparazione sugli interventi integrati di un team multidisciplinare che opera avendo come base la valutazione multidimensionale geriatrica</w:t>
      </w:r>
      <w:r w:rsidR="002563CC">
        <w:t xml:space="preserve"> (VMD) </w:t>
      </w:r>
      <w:r w:rsidR="000B4F98">
        <w:t>, c. lo stesso team insegnerà anche le modalità più corrette della dimissione ospedaliera o anche dal pronto soccorso (nel caso che il paziente anziano non sia ricoverato)-.</w:t>
      </w:r>
    </w:p>
    <w:tbl>
      <w:tblPr>
        <w:tblW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</w:tblGrid>
      <w:tr w:rsidR="000B4F98" w:rsidRPr="000B4F98" w:rsidTr="000B4F98">
        <w:trPr>
          <w:trHeight w:val="276"/>
        </w:trPr>
        <w:tc>
          <w:tcPr>
            <w:tcW w:w="0" w:type="auto"/>
            <w:vMerge w:val="restart"/>
            <w:noWrap/>
            <w:hideMark/>
          </w:tcPr>
          <w:p w:rsidR="000B4F98" w:rsidRPr="000B4F98" w:rsidRDefault="000B4F98" w:rsidP="000B4F9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it-IT"/>
              </w:rPr>
            </w:pPr>
            <w:r w:rsidRPr="000B4F98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it-IT"/>
              </w:rPr>
              <w:drawing>
                <wp:inline distT="0" distB="0" distL="0" distR="0" wp14:anchorId="04B46C0B" wp14:editId="18A18750">
                  <wp:extent cx="6350" cy="6350"/>
                  <wp:effectExtent l="0" t="0" r="0" b="0"/>
                  <wp:docPr id="4" name="Immagine 4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F98" w:rsidRPr="000B4F98" w:rsidRDefault="000B4F98" w:rsidP="000B4F9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it-IT"/>
              </w:rPr>
            </w:pPr>
            <w:r w:rsidRPr="000B4F98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it-IT"/>
              </w:rPr>
              <w:drawing>
                <wp:inline distT="0" distB="0" distL="0" distR="0" wp14:anchorId="07D0CD13" wp14:editId="7058108A">
                  <wp:extent cx="6350" cy="6350"/>
                  <wp:effectExtent l="0" t="0" r="0" b="0"/>
                  <wp:docPr id="7" name="Immagine 7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F98" w:rsidRPr="000B4F98" w:rsidTr="000B4F98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0B4F98" w:rsidRPr="000B4F98" w:rsidRDefault="000B4F98" w:rsidP="000B4F9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it-IT"/>
              </w:rPr>
            </w:pPr>
          </w:p>
        </w:tc>
      </w:tr>
    </w:tbl>
    <w:p w:rsidR="0008626B" w:rsidRDefault="00336B9E">
      <w:r>
        <w:t>Molto rilevanti</w:t>
      </w:r>
      <w:r w:rsidR="00D96271">
        <w:t xml:space="preserve"> potrebbe</w:t>
      </w:r>
      <w:r>
        <w:t xml:space="preserve">ro </w:t>
      </w:r>
      <w:r w:rsidR="00D96271">
        <w:t xml:space="preserve"> essere  l' attività e i contenuti form</w:t>
      </w:r>
      <w:r w:rsidR="000A3EC7">
        <w:t xml:space="preserve">ativi del Pronto Soccorso del </w:t>
      </w:r>
      <w:r w:rsidR="00D96271">
        <w:t xml:space="preserve"> Policlin</w:t>
      </w:r>
      <w:r w:rsidR="00D55FEE">
        <w:t>i</w:t>
      </w:r>
      <w:r w:rsidR="00D96271">
        <w:t>co</w:t>
      </w:r>
      <w:r w:rsidR="0008626B">
        <w:t xml:space="preserve"> se questo s</w:t>
      </w:r>
      <w:r w:rsidR="000A3EC7">
        <w:t xml:space="preserve">i adeguasse a ricevere gli </w:t>
      </w:r>
      <w:r w:rsidR="00D96271">
        <w:t>anziani senza traumi importan</w:t>
      </w:r>
      <w:r w:rsidR="000A3EC7">
        <w:t>ti, ma con sindromi geriatriche</w:t>
      </w:r>
      <w:r w:rsidR="0008626B">
        <w:t xml:space="preserve"> con finalità educativo-formativo: esecuzione della valutazione multidimensionale geriatrica e definizione degli interventi più rilevanti per il malato fra i quali anche la definizione del </w:t>
      </w:r>
      <w:proofErr w:type="spellStart"/>
      <w:r w:rsidR="0008626B">
        <w:t>setting</w:t>
      </w:r>
      <w:proofErr w:type="spellEnd"/>
      <w:r w:rsidR="0008626B">
        <w:t xml:space="preserve"> più idoneo per </w:t>
      </w:r>
      <w:r>
        <w:t xml:space="preserve">il suo piani di cura-assistenza; il PS come laboratorio didattico con Docenti di varie discipline (Geriatria, Medicina urgenza, medicina territoriale, nursing, riabilitazione, </w:t>
      </w:r>
      <w:r w:rsidR="00346F4B">
        <w:t xml:space="preserve">fisioterapia, </w:t>
      </w:r>
      <w:r>
        <w:t xml:space="preserve">neurologia, </w:t>
      </w:r>
      <w:proofErr w:type="spellStart"/>
      <w:r>
        <w:t>ecc</w:t>
      </w:r>
      <w:proofErr w:type="spellEnd"/>
      <w:r>
        <w:t>)</w:t>
      </w:r>
    </w:p>
    <w:p w:rsidR="00346F4B" w:rsidRDefault="00346F4B">
      <w:r>
        <w:rPr>
          <w:noProof/>
          <w:lang w:eastAsia="it-IT"/>
        </w:rPr>
        <w:drawing>
          <wp:inline distT="0" distB="0" distL="0" distR="0" wp14:anchorId="3BFC6620">
            <wp:extent cx="2557241" cy="1764000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241" cy="176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7694" w:rsidRDefault="000B7694">
      <w:r>
        <w:t xml:space="preserve"> I </w:t>
      </w:r>
      <w:r w:rsidR="00336B9E">
        <w:t xml:space="preserve">Docenti </w:t>
      </w:r>
      <w:r>
        <w:t xml:space="preserve">con gli studenti </w:t>
      </w:r>
      <w:r w:rsidR="00336B9E">
        <w:t xml:space="preserve">intercettano così </w:t>
      </w:r>
      <w:r w:rsidR="000A3EC7">
        <w:t xml:space="preserve"> in quella</w:t>
      </w:r>
      <w:r w:rsidR="00336B9E">
        <w:t xml:space="preserve"> sede </w:t>
      </w:r>
      <w:r w:rsidR="00346F4B">
        <w:t xml:space="preserve">(PS/DEA della figura) </w:t>
      </w:r>
      <w:r w:rsidR="000A3EC7">
        <w:t>l’anziano che per vari motivi va al pronto soccorso</w:t>
      </w:r>
      <w:r w:rsidR="00336B9E">
        <w:t xml:space="preserve"> che è un punto della rete dei servizi</w:t>
      </w:r>
      <w:r w:rsidR="00346F4B">
        <w:t xml:space="preserve"> (vedi figura). </w:t>
      </w:r>
      <w:r w:rsidR="004971A1">
        <w:t xml:space="preserve">L’ obiettivo didattico è quello ricordato ai punti </w:t>
      </w:r>
      <w:proofErr w:type="spellStart"/>
      <w:r w:rsidR="004971A1">
        <w:t>a,b</w:t>
      </w:r>
      <w:proofErr w:type="spellEnd"/>
      <w:r w:rsidR="004971A1">
        <w:t xml:space="preserve"> e c. </w:t>
      </w:r>
      <w:r w:rsidR="002563CC">
        <w:t xml:space="preserve">  Si tratta di diagnosticare e riconoscere </w:t>
      </w:r>
      <w:r w:rsidR="00D96271">
        <w:t xml:space="preserve">le condizioni </w:t>
      </w:r>
      <w:r w:rsidR="00A43530">
        <w:t xml:space="preserve">presentate dagli </w:t>
      </w:r>
      <w:r w:rsidR="00D96271">
        <w:t>anziani</w:t>
      </w:r>
      <w:r w:rsidR="00A43530">
        <w:t xml:space="preserve"> </w:t>
      </w:r>
      <w:r w:rsidR="002563CC">
        <w:t xml:space="preserve">(malattie acute e croniche, sindromi geriatriche, bisogni, condizioni sociali, eventuale abuso di vario tipo, funzioni cognitive e fisiche, capacità di fare e resilienza) </w:t>
      </w:r>
      <w:r w:rsidR="00A43530">
        <w:t xml:space="preserve">che molto spesso sono </w:t>
      </w:r>
      <w:r w:rsidR="00D96271">
        <w:t xml:space="preserve"> trat</w:t>
      </w:r>
      <w:r w:rsidR="002563CC">
        <w:t xml:space="preserve">tabili anche a  domicilio o in </w:t>
      </w:r>
      <w:r w:rsidR="00D96271">
        <w:t>ambulatorio</w:t>
      </w:r>
      <w:r w:rsidR="00A43530">
        <w:t xml:space="preserve">; </w:t>
      </w:r>
      <w:r w:rsidR="002F177F">
        <w:t xml:space="preserve">solo così si può definire quale sia il </w:t>
      </w:r>
      <w:proofErr w:type="spellStart"/>
      <w:r w:rsidR="002F177F">
        <w:t>setting</w:t>
      </w:r>
      <w:proofErr w:type="spellEnd"/>
      <w:r w:rsidR="002F177F">
        <w:t xml:space="preserve"> più idoneo per il paziente; </w:t>
      </w:r>
      <w:r w:rsidR="00A43530">
        <w:t xml:space="preserve">questa attività e capacità diagnostica richiede </w:t>
      </w:r>
      <w:proofErr w:type="spellStart"/>
      <w:r w:rsidR="00A43530">
        <w:t>assessment</w:t>
      </w:r>
      <w:proofErr w:type="spellEnd"/>
      <w:r w:rsidR="00A43530">
        <w:t xml:space="preserve">  geriatrico </w:t>
      </w:r>
      <w:r w:rsidR="002563CC">
        <w:t xml:space="preserve">(VMD) </w:t>
      </w:r>
      <w:r w:rsidR="00A43530">
        <w:t xml:space="preserve">che dovrà diventare uno </w:t>
      </w:r>
      <w:proofErr w:type="spellStart"/>
      <w:r w:rsidR="00A43530">
        <w:t>skill</w:t>
      </w:r>
      <w:proofErr w:type="spellEnd"/>
      <w:r w:rsidR="00A43530">
        <w:t xml:space="preserve"> dei</w:t>
      </w:r>
      <w:r w:rsidR="00D96271">
        <w:t xml:space="preserve"> medici di medicina generale in formazione e </w:t>
      </w:r>
      <w:r w:rsidR="00A43530">
        <w:t xml:space="preserve">anche dei medici delle tante </w:t>
      </w:r>
      <w:r w:rsidR="00D96271">
        <w:t>scuola spec</w:t>
      </w:r>
      <w:r w:rsidR="00DB6B9A">
        <w:t>ializzazione,</w:t>
      </w:r>
      <w:r w:rsidR="00D96271">
        <w:t xml:space="preserve"> </w:t>
      </w:r>
      <w:r w:rsidR="00A43530">
        <w:t xml:space="preserve">compresa quella </w:t>
      </w:r>
      <w:r w:rsidR="006A272F">
        <w:t>di Medicina  di comunità  e delle cure primarie</w:t>
      </w:r>
      <w:r>
        <w:t xml:space="preserve"> che ha </w:t>
      </w:r>
      <w:r w:rsidR="00DB6B9A">
        <w:t xml:space="preserve"> affinità con la Geriatria</w:t>
      </w:r>
      <w:r w:rsidR="006A272F">
        <w:t xml:space="preserve"> </w:t>
      </w:r>
      <w:r w:rsidR="00D96271">
        <w:t xml:space="preserve"> </w:t>
      </w:r>
      <w:r w:rsidR="00D55FEE">
        <w:t>.</w:t>
      </w:r>
      <w:r w:rsidR="006A272F">
        <w:t xml:space="preserve"> </w:t>
      </w:r>
    </w:p>
    <w:p w:rsidR="00825ACE" w:rsidRDefault="006A272F">
      <w:r>
        <w:t>L’ i</w:t>
      </w:r>
      <w:r w:rsidR="00D55FEE">
        <w:t xml:space="preserve">ntegrazione fra </w:t>
      </w:r>
      <w:r>
        <w:t xml:space="preserve">le attività di </w:t>
      </w:r>
      <w:r w:rsidR="005B77BA">
        <w:t>ospedale-pronto soccorso</w:t>
      </w:r>
      <w:r w:rsidR="00D55FEE">
        <w:t>-te</w:t>
      </w:r>
      <w:r w:rsidR="00A43530">
        <w:t>rritorio comprese le strutture</w:t>
      </w:r>
      <w:r w:rsidR="005B77BA">
        <w:t xml:space="preserve"> per anziani </w:t>
      </w:r>
      <w:r w:rsidR="00A43530">
        <w:t xml:space="preserve"> </w:t>
      </w:r>
      <w:r>
        <w:t>è un problema irrisolto</w:t>
      </w:r>
      <w:r w:rsidR="000B7694">
        <w:t xml:space="preserve">: con questo modulo didattico </w:t>
      </w:r>
      <w:r w:rsidR="00A43530">
        <w:t xml:space="preserve"> si potrebbe</w:t>
      </w:r>
      <w:r w:rsidR="000B7694">
        <w:t xml:space="preserve"> tentare di </w:t>
      </w:r>
      <w:r w:rsidR="00A43530">
        <w:t xml:space="preserve"> realizzare</w:t>
      </w:r>
      <w:r w:rsidR="00F21B42">
        <w:t xml:space="preserve"> l’ interazione fra </w:t>
      </w:r>
      <w:proofErr w:type="spellStart"/>
      <w:r w:rsidR="00F21B42">
        <w:t>setting</w:t>
      </w:r>
      <w:proofErr w:type="spellEnd"/>
      <w:r w:rsidR="00F21B42">
        <w:t xml:space="preserve"> diversi tradizionalmente non comun</w:t>
      </w:r>
      <w:r w:rsidR="000B7694">
        <w:t>icanti, magari utilizzando</w:t>
      </w:r>
      <w:r w:rsidR="00F21B42">
        <w:t xml:space="preserve"> la cartella clinica informatizzata e</w:t>
      </w:r>
      <w:r>
        <w:t xml:space="preserve"> il fascicolo sanitario elettronico </w:t>
      </w:r>
      <w:r w:rsidR="00F21B42">
        <w:t xml:space="preserve"> (coinvolgendo pazienti e </w:t>
      </w:r>
      <w:proofErr w:type="spellStart"/>
      <w:r w:rsidR="00F21B42">
        <w:t>caregivers</w:t>
      </w:r>
      <w:proofErr w:type="spellEnd"/>
      <w:r w:rsidR="00F21B42">
        <w:t>).</w:t>
      </w:r>
      <w:r w:rsidR="005B77BA">
        <w:t xml:space="preserve"> Forse i futuri medici sapranno affrontare con maggior competenze la situazione che è destinata a peggiorare.</w:t>
      </w:r>
    </w:p>
    <w:p w:rsidR="000B7694" w:rsidRDefault="000B7694"/>
    <w:p w:rsidR="000B7694" w:rsidRDefault="000B7694"/>
    <w:p w:rsidR="000B7694" w:rsidRDefault="000B7694"/>
    <w:p w:rsidR="000B7694" w:rsidRDefault="000B7694"/>
    <w:p w:rsidR="000B7694" w:rsidRDefault="000B7694"/>
    <w:p w:rsidR="000B7694" w:rsidRDefault="000B7694"/>
    <w:p w:rsidR="00D23176" w:rsidRDefault="00D23176"/>
    <w:sectPr w:rsidR="00D231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C2C0B"/>
    <w:multiLevelType w:val="hybridMultilevel"/>
    <w:tmpl w:val="BD52956E"/>
    <w:lvl w:ilvl="0" w:tplc="3B209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41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27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8A8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01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AC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86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6EA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82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71"/>
    <w:rsid w:val="0008626B"/>
    <w:rsid w:val="000A3EC7"/>
    <w:rsid w:val="000B4F98"/>
    <w:rsid w:val="000B7694"/>
    <w:rsid w:val="000C686B"/>
    <w:rsid w:val="002563CC"/>
    <w:rsid w:val="002F177F"/>
    <w:rsid w:val="00336B9E"/>
    <w:rsid w:val="00346F4B"/>
    <w:rsid w:val="004971A1"/>
    <w:rsid w:val="004B26DB"/>
    <w:rsid w:val="00516E46"/>
    <w:rsid w:val="005B77BA"/>
    <w:rsid w:val="00663804"/>
    <w:rsid w:val="006A272F"/>
    <w:rsid w:val="006B327E"/>
    <w:rsid w:val="00825ACE"/>
    <w:rsid w:val="0091701B"/>
    <w:rsid w:val="00A43530"/>
    <w:rsid w:val="00A93DB5"/>
    <w:rsid w:val="00B50662"/>
    <w:rsid w:val="00BB601B"/>
    <w:rsid w:val="00C12F7C"/>
    <w:rsid w:val="00C9331C"/>
    <w:rsid w:val="00CA3DEE"/>
    <w:rsid w:val="00D23176"/>
    <w:rsid w:val="00D55FEE"/>
    <w:rsid w:val="00D96271"/>
    <w:rsid w:val="00DB6B9A"/>
    <w:rsid w:val="00DE2608"/>
    <w:rsid w:val="00E27BE4"/>
    <w:rsid w:val="00ED22D4"/>
    <w:rsid w:val="00F2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27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435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27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435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2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16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9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04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97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98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31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6A0D0-3AB5-4733-A3AA-11792F3F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Salvioli</dc:creator>
  <cp:lastModifiedBy>Salvioli</cp:lastModifiedBy>
  <cp:revision>4</cp:revision>
  <dcterms:created xsi:type="dcterms:W3CDTF">2018-11-21T08:01:00Z</dcterms:created>
  <dcterms:modified xsi:type="dcterms:W3CDTF">2018-11-21T08:11:00Z</dcterms:modified>
</cp:coreProperties>
</file>