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C8A" w:rsidRDefault="000F6C8A" w:rsidP="000F6C8A">
      <w:pPr>
        <w:spacing w:before="300" w:after="0" w:line="885" w:lineRule="atLeast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78"/>
          <w:szCs w:val="78"/>
          <w:lang w:eastAsia="it-IT"/>
        </w:rPr>
      </w:pPr>
      <w:r w:rsidRPr="000F6C8A">
        <w:rPr>
          <w:rFonts w:ascii="Times New Roman" w:eastAsia="Times New Roman" w:hAnsi="Times New Roman" w:cs="Times New Roman"/>
          <w:b/>
          <w:bCs/>
          <w:kern w:val="36"/>
          <w:sz w:val="78"/>
          <w:szCs w:val="78"/>
          <w:lang w:eastAsia="it-IT"/>
        </w:rPr>
        <w:t>Longevità, i geni potrebbero pesare meno di quanto pensavamo</w:t>
      </w:r>
    </w:p>
    <w:p w:rsidR="000F6C8A" w:rsidRDefault="000F6C8A" w:rsidP="000F6C8A">
      <w:pPr>
        <w:spacing w:before="300" w:after="0" w:line="885" w:lineRule="atLeast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78"/>
          <w:szCs w:val="78"/>
          <w:lang w:eastAsia="it-IT"/>
        </w:rPr>
      </w:pPr>
    </w:p>
    <w:p w:rsidR="000F6C8A" w:rsidRPr="000F6C8A" w:rsidRDefault="000F6C8A" w:rsidP="000F6C8A">
      <w:pPr>
        <w:spacing w:before="300" w:after="0" w:line="885" w:lineRule="atLeast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78"/>
          <w:szCs w:val="78"/>
          <w:lang w:eastAsia="it-IT"/>
        </w:rPr>
      </w:pPr>
    </w:p>
    <w:p w:rsidR="000F6C8A" w:rsidRPr="000F6C8A" w:rsidRDefault="000F6C8A" w:rsidP="000F6C8A">
      <w:pPr>
        <w:spacing w:after="0" w:line="600" w:lineRule="atLeast"/>
        <w:textAlignment w:val="top"/>
        <w:outlineLvl w:val="1"/>
        <w:rPr>
          <w:rFonts w:ascii="Times New Roman" w:eastAsia="Times New Roman" w:hAnsi="Times New Roman" w:cs="Times New Roman"/>
          <w:color w:val="6E7379"/>
          <w:sz w:val="42"/>
          <w:szCs w:val="42"/>
          <w:lang w:eastAsia="it-IT"/>
        </w:rPr>
      </w:pPr>
      <w:r w:rsidRPr="000F6C8A">
        <w:rPr>
          <w:rFonts w:ascii="Times New Roman" w:eastAsia="Times New Roman" w:hAnsi="Times New Roman" w:cs="Times New Roman"/>
          <w:color w:val="6E7379"/>
          <w:sz w:val="42"/>
          <w:szCs w:val="42"/>
          <w:lang w:eastAsia="it-IT"/>
        </w:rPr>
        <w:t>Lo rivelano analisi matematiche e statistiche su 400 milioni di persone. Partner, ma anche cognati o parenti acquisiti hanno una durata di vita simile, spesso più di quanto avviene fra fratelli. Ecco perché</w:t>
      </w:r>
    </w:p>
    <w:p w:rsidR="000F6C8A" w:rsidRPr="000F6C8A" w:rsidRDefault="000F6C8A" w:rsidP="000F6C8A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0" w:name="_GoBack"/>
      <w:r w:rsidRPr="000F6C8A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DF471DB" wp14:editId="45C0A0A5">
            <wp:extent cx="6984000" cy="3925299"/>
            <wp:effectExtent l="0" t="0" r="7620" b="0"/>
            <wp:docPr id="1" name="Immagine 1" descr="(foto: Westend61/Getty Imag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(foto: Westend61/Getty Images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0" cy="39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F6C8A">
        <w:rPr>
          <w:rFonts w:ascii="Times New Roman" w:eastAsia="Times New Roman" w:hAnsi="Times New Roman" w:cs="Times New Roman"/>
          <w:sz w:val="24"/>
          <w:szCs w:val="24"/>
          <w:lang w:eastAsia="it-IT"/>
        </w:rPr>
        <w:t>(foto: Westend61/</w:t>
      </w:r>
      <w:proofErr w:type="spellStart"/>
      <w:r w:rsidRPr="000F6C8A">
        <w:rPr>
          <w:rFonts w:ascii="Times New Roman" w:eastAsia="Times New Roman" w:hAnsi="Times New Roman" w:cs="Times New Roman"/>
          <w:sz w:val="24"/>
          <w:szCs w:val="24"/>
          <w:lang w:eastAsia="it-IT"/>
        </w:rPr>
        <w:t>Getty</w:t>
      </w:r>
      <w:proofErr w:type="spellEnd"/>
      <w:r w:rsidRPr="000F6C8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Images)</w:t>
      </w:r>
    </w:p>
    <w:p w:rsidR="000F6C8A" w:rsidRPr="000F6C8A" w:rsidRDefault="000F6C8A" w:rsidP="000F6C8A">
      <w:pPr>
        <w:spacing w:after="600" w:line="540" w:lineRule="atLeast"/>
        <w:textAlignment w:val="top"/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</w:pP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lastRenderedPageBreak/>
        <w:t>La 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matematica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 non inganna: la 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genetica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 potrebbe avere un impatto molto inferiore, rispetto a quanto ritenuto fino ad oggi, nel determinare la </w:t>
      </w:r>
      <w:hyperlink r:id="rId7" w:tgtFrame="_blank" w:history="1">
        <w:r w:rsidRPr="000F6C8A">
          <w:rPr>
            <w:rFonts w:ascii="Times New Roman" w:eastAsia="Times New Roman" w:hAnsi="Times New Roman" w:cs="Times New Roman"/>
            <w:b/>
            <w:bCs/>
            <w:color w:val="000000"/>
            <w:sz w:val="29"/>
            <w:szCs w:val="29"/>
            <w:u w:val="single"/>
            <w:lang w:eastAsia="it-IT"/>
          </w:rPr>
          <w:t>longevità</w:t>
        </w:r>
      </w:hyperlink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 dell’individuo. A svelarlo è uno </w:t>
      </w:r>
      <w:hyperlink r:id="rId8" w:tgtFrame="_blank" w:history="1">
        <w:r w:rsidRPr="000F6C8A">
          <w:rPr>
            <w:rFonts w:ascii="Times New Roman" w:eastAsia="Times New Roman" w:hAnsi="Times New Roman" w:cs="Times New Roman"/>
            <w:b/>
            <w:bCs/>
            <w:color w:val="000000"/>
            <w:sz w:val="29"/>
            <w:szCs w:val="29"/>
            <w:u w:val="single"/>
            <w:lang w:eastAsia="it-IT"/>
          </w:rPr>
          <w:t>studio</w:t>
        </w:r>
      </w:hyperlink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 statunitense, basato su ampie indagini statistiche, che è stato pubblicato sulla rivista </w:t>
      </w:r>
      <w:r w:rsidRPr="000F6C8A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lang w:eastAsia="it-IT"/>
        </w:rPr>
        <w:t>Genetics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, il giornale della Genetics Society of America. Finora, si pensava che l’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ereditarietà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 dei caratteri pesasse, rispetto alla</w:t>
      </w:r>
      <w:hyperlink r:id="rId9" w:tgtFrame="_blank" w:history="1">
        <w:r w:rsidRPr="000F6C8A">
          <w:rPr>
            <w:rFonts w:ascii="Times New Roman" w:eastAsia="Times New Roman" w:hAnsi="Times New Roman" w:cs="Times New Roman"/>
            <w:b/>
            <w:bCs/>
            <w:color w:val="000000"/>
            <w:sz w:val="29"/>
            <w:szCs w:val="29"/>
            <w:lang w:eastAsia="it-IT"/>
          </w:rPr>
          <w:t> durata della vita</w:t>
        </w:r>
      </w:hyperlink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, con una percentuale 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dal 15 al 30%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, mentre secondo i ricercatori Usa l’impatto dei geni scende 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sotto al 10%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. I risultati sono stati ottenuti tramite analisi complesse su un campione di dati che includono gli alberi genealogici di 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400 milioni di persone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, dall’800 fino ai primi anni del ‘900.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 xml:space="preserve"> 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I ricercatori si sono serviti della genealogia online fornita dalla banca dati </w:t>
      </w:r>
      <w:proofErr w:type="spellStart"/>
      <w:r w:rsidRPr="000F6C8A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lang w:eastAsia="it-IT"/>
        </w:rPr>
        <w:t>Ancestry</w:t>
      </w:r>
      <w:proofErr w:type="spellEnd"/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, eliminando elementi sensibili e considerando soltanto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 anno di nascita, anno e luogo di morte e connessioni familiari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 delle persone registrate in questo sistema.</w:t>
      </w:r>
    </w:p>
    <w:p w:rsidR="000F6C8A" w:rsidRPr="000F6C8A" w:rsidRDefault="000F6C8A" w:rsidP="000F6C8A">
      <w:pPr>
        <w:spacing w:after="600" w:line="540" w:lineRule="atLeast"/>
        <w:textAlignment w:val="top"/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</w:pP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Da questo lavoro di selezione, gli autori sono riusciti a mettere insieme i dati di 400 milioni di persone, principalmente americani discendenti dagli europei che hanno colonizzato il continente. A partire da questa mole di dati, hanno messo in relazione il grado di parentela con la </w:t>
      </w:r>
      <w:hyperlink r:id="rId10" w:tgtFrame="_blank" w:history="1">
        <w:r w:rsidRPr="000F6C8A">
          <w:rPr>
            <w:rFonts w:ascii="Times New Roman" w:eastAsia="Times New Roman" w:hAnsi="Times New Roman" w:cs="Times New Roman"/>
            <w:b/>
            <w:bCs/>
            <w:color w:val="000000"/>
            <w:sz w:val="29"/>
            <w:szCs w:val="29"/>
            <w:lang w:eastAsia="it-IT"/>
          </w:rPr>
          <w:t>longevità</w:t>
        </w:r>
      </w:hyperlink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 degli individui.</w:t>
      </w:r>
    </w:p>
    <w:p w:rsidR="000F6C8A" w:rsidRPr="000F6C8A" w:rsidRDefault="000F6C8A" w:rsidP="000F6C8A">
      <w:pPr>
        <w:spacing w:after="600" w:line="540" w:lineRule="atLeast"/>
        <w:textAlignment w:val="top"/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</w:pP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Dai risultati emerge che la 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genetica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 ha un peso 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probabilmente pari al 7%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. Oltre a questo dato, emergono altri elementi di interesse: ad esempio, la lunghezza della vita dei 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coniugi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 è spesso correlata, ovvero molto simile.</w:t>
      </w:r>
    </w:p>
    <w:p w:rsidR="000F6C8A" w:rsidRPr="000F6C8A" w:rsidRDefault="000F6C8A" w:rsidP="000F6C8A">
      <w:pPr>
        <w:spacing w:after="600" w:line="540" w:lineRule="atLeast"/>
        <w:textAlignment w:val="top"/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</w:pP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Ma ciò che più sorprende è che questo risultato vale spesso anche per 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cognati e cugini acquisiti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 – dunque parenti non </w:t>
      </w:r>
      <w:r w:rsidRPr="000F6C8A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lang w:eastAsia="it-IT"/>
        </w:rPr>
        <w:t>di sangue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 e che non condividono lo stesso ambiente domestico –, nonché perfino per zii e zie acquisite, sempre stando ai dati statistici. Questi dati chiamano in causa la presenza di qualche altro fattore finora non considerato.</w:t>
      </w:r>
    </w:p>
    <w:p w:rsidR="000F6C8A" w:rsidRPr="000F6C8A" w:rsidRDefault="000F6C8A" w:rsidP="000F6C8A">
      <w:pPr>
        <w:spacing w:after="600" w:line="540" w:lineRule="atLeast"/>
        <w:textAlignment w:val="top"/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</w:pP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I ricercatori individuano un possibile elemento nel cosiddetto </w:t>
      </w:r>
      <w:r w:rsidRPr="000F6C8A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lang w:eastAsia="it-IT"/>
        </w:rPr>
        <w:t>accoppiamento assortativo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. In generale, questa espressione indica quando l’accoppiamento fra persone (o animali) avviene in maniera non casuale, ma secondo specifiche preferenze. </w:t>
      </w:r>
      <w:r w:rsidRPr="000F6C8A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lang w:eastAsia="it-IT"/>
        </w:rPr>
        <w:t>“In questo caso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 – spiega 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Graham Ruby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, primo autore dello studio – </w:t>
      </w:r>
      <w:r w:rsidRPr="000F6C8A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lang w:eastAsia="it-IT"/>
        </w:rPr>
        <w:t>l’accoppiamento assortativo indica che alcuni fattori collegati alla longevità tendono ad essere molto simili fra i partner”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. In altri termini l’individuo propende a scegliere un compagno di vita con tratti familiari, in questo caso longevità somigliante.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 xml:space="preserve">  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Certo, non è semplice capire a prima vista chi vivrà quanto noi: infatti, l’accoppiamento assortativo non si basa effettivamente sulla durata della vita, ma su caratteristiche esterne – 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genetiche o socioculturali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 – del partner che possono influenzarla. Quali? Ad esempio, una persona alta può desiderare più frequentemente di avere un partner alto: e l’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altezza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 è un fattore genetico che può contribuire anche alla durata della vita. Ma ci sono tanti fattori anche non genetici: ad esempio lo 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stato socio-economico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, il paese di provenienza, il livello di </w:t>
      </w:r>
      <w:hyperlink r:id="rId11" w:tgtFrame="_blank" w:history="1">
        <w:r w:rsidRPr="000F6C8A">
          <w:rPr>
            <w:rFonts w:ascii="Times New Roman" w:eastAsia="Times New Roman" w:hAnsi="Times New Roman" w:cs="Times New Roman"/>
            <w:b/>
            <w:bCs/>
            <w:color w:val="000000"/>
            <w:sz w:val="29"/>
            <w:szCs w:val="29"/>
            <w:u w:val="single"/>
            <w:lang w:eastAsia="it-IT"/>
          </w:rPr>
          <w:t>educazione</w:t>
        </w:r>
      </w:hyperlink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, possono determinare la scelta di un partner piuttosto che un altro. E anche questi elementi hanno un peso rispetto alla salute e alla longevità.</w:t>
      </w:r>
    </w:p>
    <w:p w:rsidR="000F6C8A" w:rsidRPr="000F6C8A" w:rsidRDefault="000F6C8A" w:rsidP="000F6C8A">
      <w:pPr>
        <w:spacing w:after="600" w:line="540" w:lineRule="atLeast"/>
        <w:textAlignment w:val="top"/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</w:pP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Proprio l’influenza di tali fattori legati all’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ambiente esterno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 mostra come la genetica possa avere un peso relativamente ridotto rispetto alla </w:t>
      </w:r>
      <w:r w:rsidRPr="000F6C8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it-IT"/>
        </w:rPr>
        <w:t>longevità</w:t>
      </w:r>
      <w:r w:rsidRPr="000F6C8A">
        <w:rPr>
          <w:rFonts w:ascii="Times New Roman" w:eastAsia="Times New Roman" w:hAnsi="Times New Roman" w:cs="Times New Roman"/>
          <w:color w:val="000000"/>
          <w:sz w:val="29"/>
          <w:szCs w:val="29"/>
          <w:lang w:eastAsia="it-IT"/>
        </w:rPr>
        <w:t>. Il fatto di aver sovrastimato il peso dei geni può essere in parte legato all’effetto confondente dell’accoppiamento assortativo, spiegano gli autori: togliendo tale effetto l’impatto della genetica si riduce appunto al 7% (o forse anche meno).</w:t>
      </w:r>
    </w:p>
    <w:p w:rsidR="00E22584" w:rsidRDefault="00E22584"/>
    <w:sectPr w:rsidR="00E2258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90CF2"/>
    <w:multiLevelType w:val="multilevel"/>
    <w:tmpl w:val="8E6C5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A267A8"/>
    <w:multiLevelType w:val="multilevel"/>
    <w:tmpl w:val="B83A27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C8A"/>
    <w:rsid w:val="000F6C8A"/>
    <w:rsid w:val="00E2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6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6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6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6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8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7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155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38508">
                          <w:marLeft w:val="-240"/>
                          <w:marRight w:val="-24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95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28966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306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953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697466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7609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121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882115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45837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170658">
                      <w:marLeft w:val="0"/>
                      <w:marRight w:val="0"/>
                      <w:marTop w:val="180"/>
                      <w:marBottom w:val="285"/>
                      <w:divBdr>
                        <w:top w:val="single" w:sz="6" w:space="0" w:color="C8C8C7"/>
                        <w:left w:val="single" w:sz="6" w:space="0" w:color="C8C8C7"/>
                        <w:bottom w:val="single" w:sz="6" w:space="0" w:color="C8C8C7"/>
                        <w:right w:val="single" w:sz="6" w:space="0" w:color="C8C8C7"/>
                      </w:divBdr>
                      <w:divsChild>
                        <w:div w:id="102979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4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47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30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428304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1113271">
                      <w:marLeft w:val="0"/>
                      <w:marRight w:val="0"/>
                      <w:marTop w:val="39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46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8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196498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511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64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82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57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504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3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455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060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637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231672">
                          <w:marLeft w:val="0"/>
                          <w:marRight w:val="0"/>
                          <w:marTop w:val="210"/>
                          <w:marBottom w:val="750"/>
                          <w:divBdr>
                            <w:top w:val="single" w:sz="6" w:space="0" w:color="B3B3B3"/>
                            <w:left w:val="single" w:sz="6" w:space="0" w:color="B3B3B3"/>
                            <w:bottom w:val="none" w:sz="0" w:space="0" w:color="auto"/>
                            <w:right w:val="single" w:sz="6" w:space="0" w:color="B3B3B3"/>
                          </w:divBdr>
                          <w:divsChild>
                            <w:div w:id="131950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221096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89999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26340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B3B3B3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181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44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50546">
                          <w:marLeft w:val="0"/>
                          <w:marRight w:val="0"/>
                          <w:marTop w:val="210"/>
                          <w:marBottom w:val="750"/>
                          <w:divBdr>
                            <w:top w:val="single" w:sz="6" w:space="0" w:color="B3B3B3"/>
                            <w:left w:val="single" w:sz="6" w:space="8" w:color="B3B3B3"/>
                            <w:bottom w:val="single" w:sz="6" w:space="15" w:color="B3B3B3"/>
                            <w:right w:val="single" w:sz="6" w:space="8" w:color="B3B3B3"/>
                          </w:divBdr>
                          <w:divsChild>
                            <w:div w:id="171462234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35969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50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1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555692">
                          <w:marLeft w:val="0"/>
                          <w:marRight w:val="0"/>
                          <w:marTop w:val="210"/>
                          <w:marBottom w:val="750"/>
                          <w:divBdr>
                            <w:top w:val="single" w:sz="6" w:space="0" w:color="B3B3B3"/>
                            <w:left w:val="single" w:sz="6" w:space="8" w:color="B3B3B3"/>
                            <w:bottom w:val="single" w:sz="6" w:space="15" w:color="B3B3B3"/>
                            <w:right w:val="single" w:sz="6" w:space="8" w:color="B3B3B3"/>
                          </w:divBdr>
                          <w:divsChild>
                            <w:div w:id="1712487480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486584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92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72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67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05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54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58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36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13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39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16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60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07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11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x.doi.org/10.1534/genetics.118.301613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wired.it/scienza/lab/2017/06/29/durata-vita-limite-massimo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wired.it/scienza/lab/2018/04/18/segreto-longevita-istruzione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wired.it/scienza/medicina/2018/01/18/klotho-proteina-longevit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ired.it/scienza/medicina/2018/06/29/limite-vita-umana-eta-mort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644</Words>
  <Characters>3674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4</vt:i4>
      </vt:variant>
    </vt:vector>
  </HeadingPairs>
  <TitlesOfParts>
    <vt:vector size="5" baseType="lpstr">
      <vt:lpstr/>
      <vt:lpstr>Longevità, i geni potrebbero pesare meno di quanto pensavamo</vt:lpstr>
      <vt:lpstr/>
      <vt:lpstr/>
      <vt:lpstr>    Lo rivelano analisi matematiche e statistiche su 400 milioni di persone. Partner</vt:lpstr>
    </vt:vector>
  </TitlesOfParts>
  <Company>Hewlett-Packard Company</Company>
  <LinksUpToDate>false</LinksUpToDate>
  <CharactersWithSpaces>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Salvioli</dc:creator>
  <cp:lastModifiedBy>Salvioli</cp:lastModifiedBy>
  <cp:revision>1</cp:revision>
  <dcterms:created xsi:type="dcterms:W3CDTF">2018-11-07T09:04:00Z</dcterms:created>
  <dcterms:modified xsi:type="dcterms:W3CDTF">2018-11-07T09:07:00Z</dcterms:modified>
</cp:coreProperties>
</file>